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0B55" w14:textId="77777777" w:rsidR="00ED0631" w:rsidRDefault="00ED0631" w:rsidP="00ED0631">
      <w:pPr>
        <w:jc w:val="center"/>
        <w:rPr>
          <w:rFonts w:ascii="Times New Roman" w:hAnsi="Times New Roman" w:cs="Times New Roman"/>
          <w:b/>
          <w:sz w:val="28"/>
          <w:szCs w:val="28"/>
        </w:rPr>
      </w:pPr>
      <w:r>
        <w:rPr>
          <w:rFonts w:ascii="Times New Roman" w:hAnsi="Times New Roman" w:cs="Times New Roman"/>
          <w:b/>
          <w:sz w:val="28"/>
          <w:szCs w:val="28"/>
        </w:rPr>
        <w:t xml:space="preserve">Методика за извадкова проверка на </w:t>
      </w:r>
    </w:p>
    <w:p w14:paraId="2B896BFC" w14:textId="025A61D7" w:rsidR="00ED0631" w:rsidRDefault="00ED0631" w:rsidP="00ED0631">
      <w:pPr>
        <w:jc w:val="center"/>
        <w:rPr>
          <w:rFonts w:ascii="Times New Roman" w:hAnsi="Times New Roman" w:cs="Times New Roman"/>
          <w:b/>
          <w:sz w:val="28"/>
          <w:szCs w:val="28"/>
        </w:rPr>
      </w:pPr>
      <w:r>
        <w:rPr>
          <w:rFonts w:ascii="Times New Roman" w:hAnsi="Times New Roman" w:cs="Times New Roman"/>
          <w:b/>
          <w:sz w:val="28"/>
          <w:szCs w:val="28"/>
        </w:rPr>
        <w:t>Микроданни участници (ЕСФ</w:t>
      </w:r>
      <w:r w:rsidR="0072144A">
        <w:rPr>
          <w:rFonts w:ascii="Times New Roman" w:hAnsi="Times New Roman" w:cs="Times New Roman"/>
          <w:b/>
          <w:sz w:val="28"/>
          <w:szCs w:val="28"/>
        </w:rPr>
        <w:t>+</w:t>
      </w:r>
      <w:r>
        <w:rPr>
          <w:rFonts w:ascii="Times New Roman" w:hAnsi="Times New Roman" w:cs="Times New Roman"/>
          <w:b/>
          <w:sz w:val="28"/>
          <w:szCs w:val="28"/>
        </w:rPr>
        <w:t xml:space="preserve">) при проекти по </w:t>
      </w:r>
      <w:proofErr w:type="spellStart"/>
      <w:r>
        <w:rPr>
          <w:rFonts w:ascii="Times New Roman" w:hAnsi="Times New Roman" w:cs="Times New Roman"/>
          <w:b/>
          <w:sz w:val="28"/>
          <w:szCs w:val="28"/>
        </w:rPr>
        <w:t>ПО</w:t>
      </w:r>
      <w:proofErr w:type="spellEnd"/>
      <w:r>
        <w:rPr>
          <w:rFonts w:ascii="Times New Roman" w:hAnsi="Times New Roman" w:cs="Times New Roman"/>
          <w:b/>
          <w:sz w:val="28"/>
          <w:szCs w:val="28"/>
        </w:rPr>
        <w:t xml:space="preserve"> </w:t>
      </w:r>
    </w:p>
    <w:p w14:paraId="52006D8D" w14:textId="77777777" w:rsidR="00ED0631" w:rsidRDefault="00ED0631" w:rsidP="00ED0631">
      <w:pPr>
        <w:spacing w:after="0" w:line="360" w:lineRule="auto"/>
        <w:ind w:firstLine="708"/>
        <w:jc w:val="both"/>
        <w:rPr>
          <w:rFonts w:ascii="Times New Roman" w:hAnsi="Times New Roman" w:cs="Times New Roman"/>
          <w:sz w:val="24"/>
          <w:szCs w:val="24"/>
        </w:rPr>
      </w:pPr>
    </w:p>
    <w:p w14:paraId="75778D3E" w14:textId="77777777" w:rsidR="00ED0631" w:rsidRDefault="00ED0631" w:rsidP="00ED063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За да получим достоверни изводи при извадкова проверка, извадката трябва да отразява основните черти на генералната съвкупност. Затова при формирането на извадката трябва да се спазят следните изисквания:</w:t>
      </w:r>
    </w:p>
    <w:p w14:paraId="06726742"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не трябва да е пристрастна (преднамерена).</w:t>
      </w:r>
      <w:r>
        <w:rPr>
          <w:rFonts w:ascii="Times New Roman" w:hAnsi="Times New Roman" w:cs="Times New Roman"/>
          <w:sz w:val="24"/>
          <w:szCs w:val="24"/>
        </w:rPr>
        <w:t xml:space="preserve"> Отстраняването на пристрастността на избора, доколкото това е възможно, се извършва със случайна извадка.</w:t>
      </w:r>
    </w:p>
    <w:p w14:paraId="6DEFF975"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случайна</w:t>
      </w:r>
      <w:r>
        <w:rPr>
          <w:rFonts w:ascii="Times New Roman" w:hAnsi="Times New Roman" w:cs="Times New Roman"/>
          <w:sz w:val="24"/>
          <w:szCs w:val="24"/>
        </w:rPr>
        <w:t xml:space="preserve">, т.е. елементите на извадката трябва да се избират случайно и по такъв начин, че всички елементи на генералната съвкупност да имат равни шансове да попаднат в нея. Получаването на случайна извадка се извършва със статистическата техника на случайния избор (процедура на </w:t>
      </w:r>
      <w:proofErr w:type="spellStart"/>
      <w:r>
        <w:rPr>
          <w:rFonts w:ascii="Times New Roman" w:hAnsi="Times New Roman" w:cs="Times New Roman"/>
          <w:sz w:val="24"/>
          <w:szCs w:val="24"/>
        </w:rPr>
        <w:t>рандомизация</w:t>
      </w:r>
      <w:proofErr w:type="spellEnd"/>
      <w:r>
        <w:rPr>
          <w:rFonts w:ascii="Times New Roman" w:hAnsi="Times New Roman" w:cs="Times New Roman"/>
          <w:sz w:val="24"/>
          <w:szCs w:val="24"/>
        </w:rPr>
        <w:t>) – чрез използване на таблици на случайни числа или на генератори на случайни числа.</w:t>
      </w:r>
    </w:p>
    <w:p w14:paraId="2A41FD55"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Обемът на извадката трябва да е достатъчно голям</w:t>
      </w:r>
      <w:r>
        <w:rPr>
          <w:rFonts w:ascii="Times New Roman" w:hAnsi="Times New Roman" w:cs="Times New Roman"/>
          <w:sz w:val="24"/>
          <w:szCs w:val="24"/>
        </w:rPr>
        <w:t>. Обемът се определя от предварително приетите максимално допустим размер на грешката и гаранционна вероятност.</w:t>
      </w:r>
    </w:p>
    <w:p w14:paraId="40A07B39" w14:textId="77777777"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представителна (репрезентативна)</w:t>
      </w:r>
      <w:r>
        <w:rPr>
          <w:rFonts w:ascii="Times New Roman" w:hAnsi="Times New Roman" w:cs="Times New Roman"/>
          <w:sz w:val="24"/>
          <w:szCs w:val="24"/>
        </w:rPr>
        <w:t xml:space="preserve">, т.е. изборът на представителите да се извършва така, че да отразяват структурата на генералната съвкупност. Съгласно закона за големите числа може да се твърди, че извадката ще бъде представителна, ако е случайна и нейният обем е достатъчно голям. Това не винаги е възможно при подбор без разбиване на генералната съвкупност на части. Затова в някои случаи е целесъобразно извадката да се извлече с </w:t>
      </w:r>
      <w:r>
        <w:rPr>
          <w:rFonts w:ascii="Times New Roman" w:hAnsi="Times New Roman" w:cs="Times New Roman"/>
          <w:b/>
          <w:sz w:val="24"/>
          <w:szCs w:val="24"/>
        </w:rPr>
        <w:t>типичен подбор</w:t>
      </w:r>
      <w:r>
        <w:rPr>
          <w:rFonts w:ascii="Times New Roman" w:hAnsi="Times New Roman" w:cs="Times New Roman"/>
          <w:sz w:val="24"/>
          <w:szCs w:val="24"/>
        </w:rPr>
        <w:t xml:space="preserve">, при който обектите се извличат не от цялата генералната съвкупност, а от всяка нейна „типична“ част. Например, ако участниците са от две административни области със съществени различия, то подборът може да се направи не от цялата съвкупност от участници, а от участниците от всяка област поотделно. Типичният подбор се прилага, когато </w:t>
      </w:r>
      <w:r>
        <w:rPr>
          <w:rFonts w:ascii="Times New Roman" w:hAnsi="Times New Roman" w:cs="Times New Roman"/>
          <w:sz w:val="24"/>
          <w:szCs w:val="24"/>
        </w:rPr>
        <w:lastRenderedPageBreak/>
        <w:t>изследваният признак се колебае забележимо в различните „типични“ части на генералната съвкупност.</w:t>
      </w:r>
    </w:p>
    <w:p w14:paraId="67A40F46"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Извадковият риск се свърза с наличието на случайна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която се дължи на влиянието на случайните фактори, действали по време на излъчването на извадката. Поради тази причина се появява т. 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(представителни) извадкови изследвания тя може да бъде измервана и контролирани в съответните граници. </w:t>
      </w:r>
    </w:p>
    <w:p w14:paraId="1BEADAE8"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Извадковият риск показва каква е вероятността да се направи невярно заключение въз основа на събраните данни от извадката, поради наличието на </w:t>
      </w:r>
      <w:proofErr w:type="spellStart"/>
      <w:r w:rsidRPr="00F15F5D">
        <w:rPr>
          <w:rFonts w:ascii="Times New Roman" w:hAnsi="Times New Roman" w:cs="Times New Roman"/>
          <w:sz w:val="24"/>
          <w:szCs w:val="24"/>
          <w:lang w:eastAsia="bg-BG"/>
        </w:rPr>
        <w:t>стохастичната</w:t>
      </w:r>
      <w:proofErr w:type="spellEnd"/>
      <w:r w:rsidRPr="00F15F5D">
        <w:rPr>
          <w:rFonts w:ascii="Times New Roman" w:hAnsi="Times New Roman" w:cs="Times New Roman"/>
          <w:sz w:val="24"/>
          <w:szCs w:val="24"/>
          <w:lang w:eastAsia="bg-BG"/>
        </w:rPr>
        <w:t xml:space="preserve"> грешка. Съответно допълващата вероятност до 1 (или 100 %) е т.нар. ниво на доверие, или гаранционна вероятност, с която могат да бъдат направени изводите от извадката и те да важат за цялата генерална съвкупност.</w:t>
      </w:r>
    </w:p>
    <w:p w14:paraId="1BDCAE08" w14:textId="5B2F6464"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В делегирания регламент </w:t>
      </w:r>
      <w:r w:rsidRPr="004E15B7">
        <w:rPr>
          <w:rFonts w:ascii="Times New Roman" w:hAnsi="Times New Roman" w:cs="Times New Roman"/>
          <w:sz w:val="24"/>
          <w:szCs w:val="24"/>
          <w:lang w:eastAsia="bg-BG"/>
        </w:rPr>
        <w:t xml:space="preserve">(ЕС) </w:t>
      </w:r>
      <w:r w:rsidR="000833F5" w:rsidRPr="000833F5">
        <w:rPr>
          <w:rFonts w:ascii="Times New Roman" w:hAnsi="Times New Roman" w:cs="Times New Roman"/>
          <w:sz w:val="24"/>
          <w:szCs w:val="24"/>
          <w:lang w:eastAsia="bg-BG"/>
        </w:rPr>
        <w:t>№ 2023/67 на Комисията от 20 октомври 2022 година за допълнение на Регламент (ЕС) № 2021/1060</w:t>
      </w:r>
      <w:r w:rsidR="000833F5">
        <w:rPr>
          <w:rFonts w:ascii="Times New Roman" w:hAnsi="Times New Roman" w:cs="Times New Roman"/>
          <w:sz w:val="24"/>
          <w:szCs w:val="24"/>
          <w:lang w:eastAsia="bg-BG"/>
        </w:rPr>
        <w:t xml:space="preserve"> </w:t>
      </w:r>
      <w:r w:rsidRPr="004E15B7">
        <w:rPr>
          <w:rFonts w:ascii="Times New Roman" w:hAnsi="Times New Roman" w:cs="Times New Roman"/>
          <w:sz w:val="24"/>
          <w:szCs w:val="24"/>
          <w:lang w:eastAsia="bg-BG"/>
        </w:rPr>
        <w:t>се</w:t>
      </w:r>
      <w:r w:rsidRPr="00F15F5D">
        <w:rPr>
          <w:rFonts w:ascii="Times New Roman" w:hAnsi="Times New Roman" w:cs="Times New Roman"/>
          <w:sz w:val="24"/>
          <w:szCs w:val="24"/>
          <w:lang w:eastAsia="bg-BG"/>
        </w:rPr>
        <w:t xml:space="preserve"> посочва, че проверките се извършват върху извадки, чийто размер зависи от надеждността на системата. Управляващият орган оценява надеждността на системата като висока, средна или ниска като взема под внимание резултатите от извършените до момента проверки или други обективни фактори, за да определи параметрите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като се прилагат следните основни прагове:</w:t>
      </w:r>
    </w:p>
    <w:p w14:paraId="7C0D21C6" w14:textId="77777777"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60 %;</w:t>
      </w:r>
    </w:p>
    <w:p w14:paraId="1ED5A3F7" w14:textId="77777777"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90 %.</w:t>
      </w:r>
    </w:p>
    <w:p w14:paraId="04FFF81A" w14:textId="77777777"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зависимост от надеждността на прилаганите системи за управление и контрол от бенефициентите и оценения риск на операциите, могат да бъдат прилагани различни нива на доверие, посочени в следващата таблица.</w:t>
      </w:r>
    </w:p>
    <w:p w14:paraId="6ADDA7DA" w14:textId="77777777" w:rsidR="00FA3442" w:rsidRPr="00F15F5D" w:rsidRDefault="00FA3442" w:rsidP="00FA3442">
      <w:pPr>
        <w:keepNext/>
        <w:spacing w:before="200"/>
        <w:jc w:val="center"/>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FA3442" w:rsidRPr="003C4FFC" w14:paraId="11E4C017" w14:textId="77777777" w:rsidTr="007C355C">
        <w:trPr>
          <w:tblHeader/>
          <w:jc w:val="center"/>
        </w:trPr>
        <w:tc>
          <w:tcPr>
            <w:tcW w:w="2972" w:type="dxa"/>
            <w:shd w:val="clear" w:color="auto" w:fill="auto"/>
          </w:tcPr>
          <w:p w14:paraId="547D4F0E" w14:textId="77777777" w:rsidR="00FA3442" w:rsidRPr="00F15F5D" w:rsidRDefault="00FA3442" w:rsidP="00FA3442">
            <w:pPr>
              <w:jc w:val="center"/>
              <w:rPr>
                <w:rFonts w:ascii="Times New Roman" w:hAnsi="Times New Roman" w:cs="Times New Roman"/>
                <w:b/>
                <w:sz w:val="24"/>
                <w:szCs w:val="24"/>
              </w:rPr>
            </w:pPr>
            <w:r w:rsidRPr="003C4FFC">
              <w:rPr>
                <w:rFonts w:ascii="Times New Roman" w:hAnsi="Times New Roman" w:cs="Times New Roman"/>
                <w:b/>
                <w:sz w:val="24"/>
                <w:szCs w:val="24"/>
              </w:rPr>
              <w:t xml:space="preserve">Функциониране на системите </w:t>
            </w:r>
            <w:r w:rsidRPr="00F15F5D">
              <w:rPr>
                <w:rFonts w:ascii="Times New Roman" w:hAnsi="Times New Roman" w:cs="Times New Roman"/>
                <w:b/>
                <w:sz w:val="24"/>
                <w:szCs w:val="24"/>
              </w:rPr>
              <w:t>при бенефициента</w:t>
            </w:r>
          </w:p>
        </w:tc>
        <w:tc>
          <w:tcPr>
            <w:tcW w:w="2736" w:type="dxa"/>
            <w:shd w:val="clear" w:color="auto" w:fill="auto"/>
          </w:tcPr>
          <w:p w14:paraId="664EA579"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Степен на надеждност на системата</w:t>
            </w:r>
          </w:p>
        </w:tc>
        <w:tc>
          <w:tcPr>
            <w:tcW w:w="2323" w:type="dxa"/>
            <w:shd w:val="clear" w:color="auto" w:fill="auto"/>
          </w:tcPr>
          <w:p w14:paraId="722F078B"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Ниво на доверие (гаранционна вероятност)</w:t>
            </w:r>
          </w:p>
        </w:tc>
        <w:tc>
          <w:tcPr>
            <w:tcW w:w="1717" w:type="dxa"/>
          </w:tcPr>
          <w:p w14:paraId="1141519D" w14:textId="77777777"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Гаранционен множител</w:t>
            </w:r>
          </w:p>
        </w:tc>
      </w:tr>
      <w:tr w:rsidR="00FA3442" w:rsidRPr="003C4FFC" w14:paraId="3A1EF698" w14:textId="77777777" w:rsidTr="007C355C">
        <w:trPr>
          <w:jc w:val="center"/>
        </w:trPr>
        <w:tc>
          <w:tcPr>
            <w:tcW w:w="2972" w:type="dxa"/>
            <w:shd w:val="clear" w:color="auto" w:fill="auto"/>
          </w:tcPr>
          <w:p w14:paraId="0FA9F3D9"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добре. Не е необходимо подобрение или е необходимо само незначително</w:t>
            </w:r>
            <w:r w:rsidRPr="00F15F5D">
              <w:rPr>
                <w:rFonts w:ascii="Times New Roman" w:hAnsi="Times New Roman" w:cs="Times New Roman"/>
                <w:sz w:val="24"/>
                <w:szCs w:val="24"/>
              </w:rPr>
              <w:t>. Договорите са нискорискови.</w:t>
            </w:r>
          </w:p>
        </w:tc>
        <w:tc>
          <w:tcPr>
            <w:tcW w:w="2736" w:type="dxa"/>
            <w:shd w:val="clear" w:color="auto" w:fill="auto"/>
          </w:tcPr>
          <w:p w14:paraId="05FC75DF"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Висока</w:t>
            </w:r>
          </w:p>
        </w:tc>
        <w:tc>
          <w:tcPr>
            <w:tcW w:w="2323" w:type="dxa"/>
            <w:shd w:val="clear" w:color="auto" w:fill="auto"/>
          </w:tcPr>
          <w:p w14:paraId="41429BAB"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60 %</w:t>
            </w:r>
          </w:p>
        </w:tc>
        <w:tc>
          <w:tcPr>
            <w:tcW w:w="1717" w:type="dxa"/>
          </w:tcPr>
          <w:p w14:paraId="335AB6AE"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0,84</w:t>
            </w:r>
          </w:p>
        </w:tc>
      </w:tr>
      <w:tr w:rsidR="00FA3442" w:rsidRPr="003C4FFC" w14:paraId="12FF62BC" w14:textId="77777777" w:rsidTr="007C355C">
        <w:trPr>
          <w:jc w:val="center"/>
        </w:trPr>
        <w:tc>
          <w:tcPr>
            <w:tcW w:w="2972" w:type="dxa"/>
            <w:shd w:val="clear" w:color="auto" w:fill="auto"/>
          </w:tcPr>
          <w:p w14:paraId="50E706B3"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Необходимо е известно подобрение.</w:t>
            </w:r>
            <w:r w:rsidRPr="00F15F5D">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14:paraId="49F8E6EE"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висока</w:t>
            </w:r>
          </w:p>
        </w:tc>
        <w:tc>
          <w:tcPr>
            <w:tcW w:w="2323" w:type="dxa"/>
            <w:shd w:val="clear" w:color="auto" w:fill="auto"/>
          </w:tcPr>
          <w:p w14:paraId="6CC0137F"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70 %</w:t>
            </w:r>
          </w:p>
        </w:tc>
        <w:tc>
          <w:tcPr>
            <w:tcW w:w="1717" w:type="dxa"/>
          </w:tcPr>
          <w:p w14:paraId="1FB8E394"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1,04</w:t>
            </w:r>
          </w:p>
        </w:tc>
      </w:tr>
      <w:tr w:rsidR="00FA3442" w:rsidRPr="003C4FFC" w14:paraId="489EC54E" w14:textId="77777777" w:rsidTr="007C355C">
        <w:trPr>
          <w:jc w:val="center"/>
        </w:trPr>
        <w:tc>
          <w:tcPr>
            <w:tcW w:w="2972" w:type="dxa"/>
            <w:shd w:val="clear" w:color="auto" w:fill="auto"/>
          </w:tcPr>
          <w:p w14:paraId="6A7B8216" w14:textId="77777777"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отчасти. Необходими са значителни подобрения.</w:t>
            </w:r>
            <w:r w:rsidRPr="00F15F5D">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14:paraId="1F3A8440"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ниска</w:t>
            </w:r>
          </w:p>
        </w:tc>
        <w:tc>
          <w:tcPr>
            <w:tcW w:w="2323" w:type="dxa"/>
            <w:shd w:val="clear" w:color="auto" w:fill="auto"/>
          </w:tcPr>
          <w:p w14:paraId="22F04133"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80 %</w:t>
            </w:r>
          </w:p>
        </w:tc>
        <w:tc>
          <w:tcPr>
            <w:tcW w:w="1717" w:type="dxa"/>
          </w:tcPr>
          <w:p w14:paraId="760212F9"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1,28</w:t>
            </w:r>
          </w:p>
        </w:tc>
      </w:tr>
      <w:tr w:rsidR="00FA3442" w:rsidRPr="003C4FFC" w14:paraId="3C47B1DD" w14:textId="77777777" w:rsidTr="007C355C">
        <w:trPr>
          <w:jc w:val="center"/>
        </w:trPr>
        <w:tc>
          <w:tcPr>
            <w:tcW w:w="2972" w:type="dxa"/>
            <w:shd w:val="clear" w:color="auto" w:fill="auto"/>
          </w:tcPr>
          <w:p w14:paraId="0E041C14" w14:textId="77777777" w:rsidR="00FA3442" w:rsidRPr="00674397"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Като цяло</w:t>
            </w:r>
            <w:r w:rsidRPr="00F15F5D">
              <w:rPr>
                <w:sz w:val="24"/>
                <w:szCs w:val="24"/>
              </w:rPr>
              <w:t xml:space="preserve"> </w:t>
            </w:r>
            <w:r w:rsidRPr="003C4FFC">
              <w:rPr>
                <w:rFonts w:ascii="Times New Roman" w:hAnsi="Times New Roman" w:cs="Times New Roman"/>
                <w:sz w:val="24"/>
                <w:szCs w:val="24"/>
              </w:rPr>
              <w:t>системата не функционира</w:t>
            </w:r>
            <w:r w:rsidRPr="0013628E">
              <w:rPr>
                <w:rFonts w:ascii="Times New Roman" w:hAnsi="Times New Roman" w:cs="Times New Roman"/>
                <w:sz w:val="24"/>
                <w:szCs w:val="24"/>
              </w:rPr>
              <w:t xml:space="preserve"> добре. Договорите са високорискови.</w:t>
            </w:r>
          </w:p>
        </w:tc>
        <w:tc>
          <w:tcPr>
            <w:tcW w:w="2736" w:type="dxa"/>
            <w:shd w:val="clear" w:color="auto" w:fill="auto"/>
          </w:tcPr>
          <w:p w14:paraId="4EB5DD78" w14:textId="77777777"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Ниска</w:t>
            </w:r>
          </w:p>
        </w:tc>
        <w:tc>
          <w:tcPr>
            <w:tcW w:w="2323" w:type="dxa"/>
            <w:shd w:val="clear" w:color="auto" w:fill="auto"/>
          </w:tcPr>
          <w:p w14:paraId="31FE12E5"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90 %</w:t>
            </w:r>
          </w:p>
        </w:tc>
        <w:tc>
          <w:tcPr>
            <w:tcW w:w="1717" w:type="dxa"/>
          </w:tcPr>
          <w:p w14:paraId="7B27ADE9" w14:textId="77777777"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1,64</w:t>
            </w:r>
          </w:p>
        </w:tc>
      </w:tr>
    </w:tbl>
    <w:p w14:paraId="257F4C9E" w14:textId="77777777"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В началото на изпълнението на съответния проект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доказателства) е възможно да се увеличи надеждността и съответно нивото на доверие, с което се правят заключенията от извадката, да намалее.</w:t>
      </w:r>
    </w:p>
    <w:p w14:paraId="1FAB215E" w14:textId="77777777"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 xml:space="preserve">На всяко ниво на доверие съответства т.нар. гаранционен множител, който се отбелязва със </w:t>
      </w:r>
      <w:r w:rsidRPr="003D6800">
        <w:rPr>
          <w:rFonts w:ascii="Times New Roman" w:hAnsi="Times New Roman" w:cs="Times New Roman"/>
          <w:sz w:val="24"/>
          <w:szCs w:val="24"/>
          <w:lang w:val="en-US" w:eastAsia="bg-BG"/>
        </w:rPr>
        <w:t>z</w:t>
      </w:r>
      <w:r w:rsidRPr="003D6800">
        <w:rPr>
          <w:rFonts w:ascii="Times New Roman" w:hAnsi="Times New Roman" w:cs="Times New Roman"/>
          <w:sz w:val="24"/>
          <w:szCs w:val="24"/>
          <w:lang w:eastAsia="bg-BG"/>
        </w:rPr>
        <w:t xml:space="preserve">, когато се работи с нормално разпределение. В последната колона на таблица 1 са поместени стойностите на </w:t>
      </w:r>
      <w:r w:rsidRPr="003D6800">
        <w:rPr>
          <w:rFonts w:ascii="Times New Roman" w:hAnsi="Times New Roman" w:cs="Times New Roman"/>
          <w:sz w:val="24"/>
          <w:szCs w:val="24"/>
          <w:lang w:val="en-US" w:eastAsia="bg-BG"/>
        </w:rPr>
        <w:t>z</w:t>
      </w:r>
      <w:r w:rsidRPr="00440E9B">
        <w:rPr>
          <w:rFonts w:ascii="Times New Roman" w:hAnsi="Times New Roman" w:cs="Times New Roman"/>
          <w:sz w:val="24"/>
          <w:szCs w:val="24"/>
          <w:lang w:val="ru-RU" w:eastAsia="bg-BG"/>
        </w:rPr>
        <w:t>,</w:t>
      </w:r>
      <w:r w:rsidRPr="003D6800">
        <w:rPr>
          <w:rFonts w:ascii="Times New Roman" w:hAnsi="Times New Roman" w:cs="Times New Roman"/>
          <w:sz w:val="24"/>
          <w:szCs w:val="24"/>
          <w:lang w:eastAsia="bg-BG"/>
        </w:rPr>
        <w:t xml:space="preserve"> съответстващи на различните избрани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032BD012" w14:textId="77777777" w:rsidR="00674397"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b/>
          <w:sz w:val="24"/>
          <w:szCs w:val="24"/>
          <w:lang w:eastAsia="bg-BG"/>
        </w:rPr>
        <w:t>Извадковата грешка</w:t>
      </w:r>
      <w:r w:rsidRPr="00F15F5D">
        <w:rPr>
          <w:rFonts w:ascii="Times New Roman" w:hAnsi="Times New Roman" w:cs="Times New Roman"/>
          <w:sz w:val="24"/>
          <w:szCs w:val="24"/>
          <w:lang w:eastAsia="bg-BG"/>
        </w:rPr>
        <w:t xml:space="preserve"> съответства на т.нар. </w:t>
      </w:r>
      <w:r w:rsidRPr="00F15F5D">
        <w:rPr>
          <w:rFonts w:ascii="Times New Roman" w:hAnsi="Times New Roman" w:cs="Times New Roman"/>
          <w:b/>
          <w:sz w:val="24"/>
          <w:szCs w:val="24"/>
          <w:lang w:eastAsia="bg-BG"/>
        </w:rPr>
        <w:t xml:space="preserve">максимална </w:t>
      </w:r>
      <w:proofErr w:type="spellStart"/>
      <w:r w:rsidRPr="00F15F5D">
        <w:rPr>
          <w:rFonts w:ascii="Times New Roman" w:hAnsi="Times New Roman" w:cs="Times New Roman"/>
          <w:b/>
          <w:sz w:val="24"/>
          <w:szCs w:val="24"/>
          <w:lang w:eastAsia="bg-BG"/>
        </w:rPr>
        <w:t>стохастична</w:t>
      </w:r>
      <w:proofErr w:type="spellEnd"/>
      <w:r w:rsidRPr="00F15F5D">
        <w:rPr>
          <w:rFonts w:ascii="Times New Roman" w:hAnsi="Times New Roman" w:cs="Times New Roman"/>
          <w:b/>
          <w:sz w:val="24"/>
          <w:szCs w:val="24"/>
          <w:lang w:eastAsia="bg-BG"/>
        </w:rPr>
        <w:t xml:space="preserve"> грешка</w:t>
      </w:r>
      <w:r w:rsidRPr="00F15F5D">
        <w:rPr>
          <w:rFonts w:ascii="Times New Roman" w:hAnsi="Times New Roman" w:cs="Times New Roman"/>
          <w:sz w:val="24"/>
          <w:szCs w:val="24"/>
          <w:lang w:eastAsia="bg-BG"/>
        </w:rPr>
        <w:t xml:space="preserve"> от теория на статистиката. От гледна точка на </w:t>
      </w:r>
      <w:r w:rsidR="003C4FFC" w:rsidRPr="00F15F5D">
        <w:rPr>
          <w:rFonts w:ascii="Times New Roman" w:hAnsi="Times New Roman" w:cs="Times New Roman"/>
          <w:sz w:val="24"/>
          <w:szCs w:val="24"/>
          <w:lang w:eastAsia="bg-BG"/>
        </w:rPr>
        <w:t>проверката</w:t>
      </w:r>
      <w:r w:rsidRPr="00F15F5D">
        <w:rPr>
          <w:rFonts w:ascii="Times New Roman" w:hAnsi="Times New Roman" w:cs="Times New Roman"/>
          <w:sz w:val="24"/>
          <w:szCs w:val="24"/>
          <w:lang w:eastAsia="bg-BG"/>
        </w:rPr>
        <w:t xml:space="preserve"> тя представлява този размер (зададен от УО като абсолютен или относителен) на отклонението, който не бива да бъде надвишаван и съответно няма да се отрази върху заключението. </w:t>
      </w:r>
    </w:p>
    <w:p w14:paraId="42D9E980" w14:textId="710AB213"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 xml:space="preserve">В </w:t>
      </w:r>
      <w:r w:rsidRPr="0036492D">
        <w:rPr>
          <w:rFonts w:ascii="Times New Roman" w:hAnsi="Times New Roman" w:cs="Times New Roman"/>
          <w:sz w:val="24"/>
          <w:szCs w:val="24"/>
          <w:lang w:eastAsia="bg-BG"/>
        </w:rPr>
        <w:t xml:space="preserve">делегирания регламент (ЕС) </w:t>
      </w:r>
      <w:r w:rsidR="000833F5" w:rsidRPr="000833F5">
        <w:rPr>
          <w:rFonts w:ascii="Times New Roman" w:hAnsi="Times New Roman" w:cs="Times New Roman"/>
          <w:sz w:val="24"/>
          <w:szCs w:val="24"/>
          <w:lang w:eastAsia="bg-BG"/>
        </w:rPr>
        <w:t>№ 2023/67 на Комисията от 20 октомври 2022 година за допълнение на Регламент (ЕС) № 2021/1060</w:t>
      </w:r>
      <w:r w:rsidRPr="007F4F0C">
        <w:rPr>
          <w:rFonts w:ascii="Times New Roman" w:hAnsi="Times New Roman" w:cs="Times New Roman"/>
          <w:sz w:val="24"/>
          <w:szCs w:val="24"/>
          <w:lang w:eastAsia="bg-BG"/>
        </w:rPr>
        <w:t xml:space="preserve"> се посочва, че максималният праг на същественост (</w:t>
      </w:r>
      <w:r w:rsidRPr="007F4F0C">
        <w:rPr>
          <w:rFonts w:ascii="Times New Roman" w:hAnsi="Times New Roman" w:cs="Times New Roman"/>
          <w:b/>
          <w:sz w:val="24"/>
          <w:szCs w:val="24"/>
          <w:lang w:eastAsia="bg-BG"/>
        </w:rPr>
        <w:t>допустимата извадкова грешка</w:t>
      </w:r>
      <w:r w:rsidRPr="007F4F0C">
        <w:rPr>
          <w:rFonts w:ascii="Times New Roman" w:hAnsi="Times New Roman" w:cs="Times New Roman"/>
          <w:sz w:val="24"/>
          <w:szCs w:val="24"/>
          <w:lang w:eastAsia="bg-BG"/>
        </w:rPr>
        <w:t xml:space="preserve">), определена от одитора, </w:t>
      </w:r>
      <w:r w:rsidRPr="00F15F5D">
        <w:rPr>
          <w:rFonts w:ascii="Times New Roman" w:hAnsi="Times New Roman" w:cs="Times New Roman"/>
          <w:b/>
          <w:sz w:val="24"/>
          <w:szCs w:val="24"/>
          <w:lang w:eastAsia="bg-BG"/>
        </w:rPr>
        <w:t>не трябва да надхвърля 2 %.</w:t>
      </w:r>
      <w:r w:rsidR="00674397">
        <w:rPr>
          <w:rFonts w:ascii="Times New Roman" w:hAnsi="Times New Roman" w:cs="Times New Roman"/>
          <w:b/>
          <w:sz w:val="24"/>
          <w:szCs w:val="24"/>
          <w:lang w:eastAsia="bg-BG"/>
        </w:rPr>
        <w:t xml:space="preserve"> </w:t>
      </w:r>
      <w:r w:rsidR="00674397" w:rsidRPr="007F4F0C">
        <w:rPr>
          <w:rFonts w:ascii="Times New Roman" w:hAnsi="Times New Roman" w:cs="Times New Roman"/>
          <w:sz w:val="24"/>
          <w:szCs w:val="24"/>
          <w:lang w:eastAsia="bg-BG"/>
        </w:rPr>
        <w:t>Съответ</w:t>
      </w:r>
      <w:r w:rsidR="00674397" w:rsidRPr="00674397">
        <w:rPr>
          <w:rFonts w:ascii="Times New Roman" w:hAnsi="Times New Roman" w:cs="Times New Roman"/>
          <w:sz w:val="24"/>
          <w:szCs w:val="24"/>
          <w:lang w:eastAsia="bg-BG"/>
        </w:rPr>
        <w:t>но при изчисленията се задава с</w:t>
      </w:r>
      <w:r w:rsidR="00674397" w:rsidRPr="007F4F0C">
        <w:rPr>
          <w:rFonts w:ascii="Times New Roman" w:hAnsi="Times New Roman" w:cs="Times New Roman"/>
          <w:sz w:val="24"/>
          <w:szCs w:val="24"/>
          <w:lang w:eastAsia="bg-BG"/>
        </w:rPr>
        <w:t xml:space="preserve">тойност </w:t>
      </w:r>
      <w:r w:rsidR="00674397">
        <w:rPr>
          <w:rFonts w:ascii="Times New Roman" w:hAnsi="Times New Roman" w:cs="Times New Roman"/>
          <w:sz w:val="24"/>
          <w:szCs w:val="24"/>
          <w:lang w:eastAsia="bg-BG"/>
        </w:rPr>
        <w:t>0,02 (или по-ниска, ако по някакви причини е необходимо да се определи по-нисък допустим праг на грешката).</w:t>
      </w:r>
    </w:p>
    <w:p w14:paraId="3CDFBEBA" w14:textId="77777777"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случаите,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6EA4AD46" w14:textId="77777777"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 на още </w:t>
      </w:r>
      <w:r w:rsidR="003C4FFC" w:rsidRPr="00F15F5D">
        <w:rPr>
          <w:rFonts w:ascii="Times New Roman" w:hAnsi="Times New Roman" w:cs="Times New Roman"/>
          <w:sz w:val="24"/>
          <w:szCs w:val="24"/>
          <w:lang w:eastAsia="bg-BG"/>
        </w:rPr>
        <w:t>участници</w:t>
      </w:r>
      <w:r w:rsidRPr="00F15F5D">
        <w:rPr>
          <w:rFonts w:ascii="Times New Roman" w:hAnsi="Times New Roman" w:cs="Times New Roman"/>
          <w:sz w:val="24"/>
          <w:szCs w:val="24"/>
          <w:lang w:eastAsia="bg-BG"/>
        </w:rPr>
        <w:t xml:space="preserve">,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на случайната извадка.</w:t>
      </w:r>
    </w:p>
    <w:p w14:paraId="3E98501D" w14:textId="77777777" w:rsidR="00ED0631" w:rsidRDefault="00ED0631" w:rsidP="00F15F5D">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Посочените основни принципи се спазват при прилагане на следната стандартна формула </w:t>
      </w:r>
      <w:r w:rsidR="00EF24D0">
        <w:rPr>
          <w:rFonts w:ascii="Times New Roman" w:hAnsi="Times New Roman" w:cs="Times New Roman"/>
          <w:sz w:val="24"/>
          <w:szCs w:val="24"/>
        </w:rPr>
        <w:t>за безвъзвратен подбор и дихо</w:t>
      </w:r>
      <w:r w:rsidR="005F2C08">
        <w:rPr>
          <w:rFonts w:ascii="Times New Roman" w:hAnsi="Times New Roman" w:cs="Times New Roman"/>
          <w:sz w:val="24"/>
          <w:szCs w:val="24"/>
        </w:rPr>
        <w:t xml:space="preserve">томен признак </w:t>
      </w:r>
      <w:r>
        <w:rPr>
          <w:rFonts w:ascii="Times New Roman" w:hAnsi="Times New Roman" w:cs="Times New Roman"/>
          <w:sz w:val="24"/>
          <w:szCs w:val="24"/>
        </w:rPr>
        <w:t xml:space="preserve">от статистическия анализ: </w:t>
      </w:r>
    </w:p>
    <w:p w14:paraId="744641C6" w14:textId="77777777" w:rsidR="00ED0631" w:rsidRDefault="00ED0631" w:rsidP="00ED0631">
      <w:pPr>
        <w:pStyle w:val="ListParagraph"/>
        <w:ind w:left="0"/>
        <w:rPr>
          <w:rFonts w:ascii="Times New Roman" w:hAnsi="Times New Roman"/>
          <w:b/>
          <w:sz w:val="24"/>
          <w:szCs w:val="24"/>
        </w:rPr>
      </w:pPr>
    </w:p>
    <w:p w14:paraId="46562F95" w14:textId="77777777" w:rsidR="005F2C08" w:rsidRDefault="005F2C08" w:rsidP="00ED0631">
      <w:pPr>
        <w:pStyle w:val="ListParagraph"/>
        <w:ind w:left="0"/>
        <w:rPr>
          <w:rFonts w:ascii="Times New Roman" w:hAnsi="Times New Roman"/>
          <w:b/>
          <w:sz w:val="24"/>
          <w:szCs w:val="24"/>
        </w:rPr>
      </w:pPr>
      <w:r w:rsidRPr="004E027B">
        <w:rPr>
          <w:position w:val="-28"/>
        </w:rPr>
        <w:object w:dxaOrig="2120" w:dyaOrig="700" w14:anchorId="7A45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34.6pt" o:ole="">
            <v:imagedata r:id="rId7" o:title=""/>
          </v:shape>
          <o:OLEObject Type="Embed" ProgID="Equation.DSMT4" ShapeID="_x0000_i1025" DrawAspect="Content" ObjectID="_1799820138" r:id="rId8"/>
        </w:object>
      </w:r>
    </w:p>
    <w:p w14:paraId="736C3B45" w14:textId="77777777" w:rsidR="00ED0631" w:rsidRDefault="00ED0631" w:rsidP="00ED0631">
      <w:pPr>
        <w:pStyle w:val="ListParagraph"/>
        <w:ind w:left="0"/>
        <w:rPr>
          <w:rFonts w:ascii="Times New Roman" w:hAnsi="Times New Roman"/>
          <w:b/>
          <w:sz w:val="24"/>
          <w:szCs w:val="24"/>
        </w:rPr>
      </w:pPr>
    </w:p>
    <w:p w14:paraId="1A2AC599" w14:textId="77777777" w:rsidR="00ED0631" w:rsidRDefault="00ED0631" w:rsidP="00ED0631">
      <w:pPr>
        <w:pStyle w:val="ListParagraph"/>
        <w:ind w:left="0"/>
        <w:rPr>
          <w:rFonts w:ascii="Times New Roman" w:hAnsi="Times New Roman"/>
          <w:sz w:val="24"/>
          <w:szCs w:val="24"/>
        </w:rPr>
      </w:pPr>
      <w:r>
        <w:rPr>
          <w:rFonts w:ascii="Times New Roman" w:hAnsi="Times New Roman"/>
          <w:sz w:val="24"/>
          <w:szCs w:val="24"/>
        </w:rPr>
        <w:t>където:</w:t>
      </w:r>
    </w:p>
    <w:p w14:paraId="75EB380D" w14:textId="77777777"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извадката;</w:t>
      </w:r>
    </w:p>
    <w:p w14:paraId="5BD230C6" w14:textId="77777777"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генералната съвкупност (всички участници в проекта)</w:t>
      </w:r>
    </w:p>
    <w:p w14:paraId="29A6050E" w14:textId="77777777" w:rsidR="005F2C08" w:rsidRPr="00F15F5D" w:rsidRDefault="005F2C08" w:rsidP="00F15F5D">
      <w:pPr>
        <w:jc w:val="both"/>
        <w:rPr>
          <w:sz w:val="24"/>
          <w:szCs w:val="24"/>
        </w:rPr>
      </w:pPr>
      <w:r w:rsidRPr="00F15F5D">
        <w:rPr>
          <w:rFonts w:ascii="Times New Roman" w:hAnsi="Times New Roman" w:cs="Times New Roman"/>
          <w:i/>
          <w:sz w:val="24"/>
          <w:szCs w:val="24"/>
        </w:rPr>
        <w:t>z</w:t>
      </w:r>
      <w:r w:rsidRPr="00F15F5D">
        <w:rPr>
          <w:sz w:val="24"/>
          <w:szCs w:val="24"/>
        </w:rPr>
        <w:t xml:space="preserve"> – гаранцион</w:t>
      </w:r>
      <w:r w:rsidR="00674397" w:rsidRPr="00F15F5D">
        <w:rPr>
          <w:sz w:val="24"/>
          <w:szCs w:val="24"/>
        </w:rPr>
        <w:t>е</w:t>
      </w:r>
      <w:r w:rsidRPr="00F15F5D">
        <w:rPr>
          <w:sz w:val="24"/>
          <w:szCs w:val="24"/>
        </w:rPr>
        <w:t>н множител, съответстващ на избраното от УО ниво на доверие или гаранционна вероятност (</w:t>
      </w:r>
      <w:proofErr w:type="spellStart"/>
      <w:r w:rsidRPr="00F15F5D">
        <w:rPr>
          <w:sz w:val="24"/>
          <w:szCs w:val="24"/>
        </w:rPr>
        <w:t>confidence</w:t>
      </w:r>
      <w:proofErr w:type="spellEnd"/>
      <w:r w:rsidRPr="00F15F5D">
        <w:rPr>
          <w:sz w:val="24"/>
          <w:szCs w:val="24"/>
        </w:rPr>
        <w:t xml:space="preserve"> </w:t>
      </w:r>
      <w:proofErr w:type="spellStart"/>
      <w:r w:rsidRPr="00F15F5D">
        <w:rPr>
          <w:sz w:val="24"/>
          <w:szCs w:val="24"/>
        </w:rPr>
        <w:t>level</w:t>
      </w:r>
      <w:proofErr w:type="spellEnd"/>
      <w:r w:rsidRPr="00F15F5D">
        <w:rPr>
          <w:sz w:val="24"/>
          <w:szCs w:val="24"/>
        </w:rPr>
        <w:t>). Изчислява се при гаранционна вероятност, равна на 60 %, 70 %</w:t>
      </w:r>
      <w:r w:rsidR="00FA3442" w:rsidRPr="00F15F5D">
        <w:rPr>
          <w:sz w:val="24"/>
          <w:szCs w:val="24"/>
        </w:rPr>
        <w:t>, 80 %</w:t>
      </w:r>
      <w:r w:rsidRPr="00F15F5D">
        <w:rPr>
          <w:sz w:val="24"/>
          <w:szCs w:val="24"/>
        </w:rPr>
        <w:t xml:space="preserve"> или 90 </w:t>
      </w:r>
      <w:r w:rsidR="00FA3442" w:rsidRPr="00F15F5D">
        <w:rPr>
          <w:sz w:val="24"/>
          <w:szCs w:val="24"/>
        </w:rPr>
        <w:t>% (съответно 0</w:t>
      </w:r>
      <w:r w:rsidRPr="00F15F5D">
        <w:rPr>
          <w:sz w:val="24"/>
          <w:szCs w:val="24"/>
        </w:rPr>
        <w:t>,</w:t>
      </w:r>
      <w:r w:rsidR="00FA3442" w:rsidRPr="00F15F5D">
        <w:rPr>
          <w:sz w:val="24"/>
          <w:szCs w:val="24"/>
        </w:rPr>
        <w:t>84; 1,04; 1,28</w:t>
      </w:r>
      <w:r w:rsidRPr="00F15F5D">
        <w:rPr>
          <w:sz w:val="24"/>
          <w:szCs w:val="24"/>
        </w:rPr>
        <w:t xml:space="preserve"> или </w:t>
      </w:r>
      <w:r w:rsidR="00FA3442" w:rsidRPr="00F15F5D">
        <w:rPr>
          <w:sz w:val="24"/>
          <w:szCs w:val="24"/>
        </w:rPr>
        <w:t>1</w:t>
      </w:r>
      <w:r w:rsidRPr="00F15F5D">
        <w:rPr>
          <w:sz w:val="24"/>
          <w:szCs w:val="24"/>
        </w:rPr>
        <w:t>,</w:t>
      </w:r>
      <w:r w:rsidR="00FA3442" w:rsidRPr="00F15F5D">
        <w:rPr>
          <w:sz w:val="24"/>
          <w:szCs w:val="24"/>
        </w:rPr>
        <w:t>64</w:t>
      </w:r>
      <w:r w:rsidRPr="00F15F5D">
        <w:rPr>
          <w:sz w:val="24"/>
          <w:szCs w:val="24"/>
        </w:rPr>
        <w:t>)</w:t>
      </w:r>
    </w:p>
    <w:p w14:paraId="611CBDDB" w14:textId="77777777" w:rsidR="0013628E" w:rsidRPr="00F15F5D" w:rsidRDefault="00674397" w:rsidP="00ED0631">
      <w:pPr>
        <w:rPr>
          <w:sz w:val="24"/>
          <w:szCs w:val="24"/>
        </w:rPr>
      </w:pPr>
      <w:r w:rsidRPr="00F15F5D">
        <w:rPr>
          <w:rFonts w:ascii="Times New Roman" w:hAnsi="Times New Roman" w:cs="Times New Roman"/>
          <w:i/>
          <w:sz w:val="24"/>
          <w:szCs w:val="24"/>
        </w:rPr>
        <w:t>Е</w:t>
      </w:r>
      <w:r w:rsidRPr="00F15F5D">
        <w:rPr>
          <w:sz w:val="24"/>
          <w:szCs w:val="24"/>
        </w:rPr>
        <w:t xml:space="preserve"> </w:t>
      </w:r>
      <w:r w:rsidR="0013628E" w:rsidRPr="00F15F5D">
        <w:rPr>
          <w:sz w:val="24"/>
          <w:szCs w:val="24"/>
        </w:rPr>
        <w:t xml:space="preserve">– извадкова (максимална </w:t>
      </w:r>
      <w:proofErr w:type="spellStart"/>
      <w:r w:rsidR="0013628E" w:rsidRPr="00F15F5D">
        <w:rPr>
          <w:sz w:val="24"/>
          <w:szCs w:val="24"/>
        </w:rPr>
        <w:t>стохастична</w:t>
      </w:r>
      <w:proofErr w:type="spellEnd"/>
      <w:r w:rsidR="0013628E" w:rsidRPr="00F15F5D">
        <w:rPr>
          <w:sz w:val="24"/>
          <w:szCs w:val="24"/>
        </w:rPr>
        <w:t xml:space="preserve">) грешка (стойност не по-висока от 0,02) </w:t>
      </w:r>
    </w:p>
    <w:p w14:paraId="26AC573F" w14:textId="77777777" w:rsidR="00ED0631" w:rsidRPr="00F15F5D" w:rsidRDefault="0013628E" w:rsidP="00ED0631">
      <w:pPr>
        <w:rPr>
          <w:sz w:val="24"/>
          <w:szCs w:val="24"/>
        </w:rPr>
      </w:pPr>
      <w:r w:rsidRPr="00F15F5D">
        <w:rPr>
          <w:rFonts w:ascii="Times New Roman" w:hAnsi="Times New Roman" w:cs="Times New Roman"/>
          <w:i/>
          <w:sz w:val="24"/>
          <w:szCs w:val="24"/>
        </w:rPr>
        <w:t>p</w:t>
      </w:r>
      <w:r w:rsidR="00ED0631" w:rsidRPr="00F15F5D">
        <w:rPr>
          <w:sz w:val="24"/>
          <w:szCs w:val="24"/>
        </w:rPr>
        <w:t xml:space="preserve"> –</w:t>
      </w:r>
      <w:r w:rsidR="00674397" w:rsidRPr="00F15F5D">
        <w:rPr>
          <w:sz w:val="24"/>
          <w:szCs w:val="24"/>
        </w:rPr>
        <w:t xml:space="preserve"> относителен</w:t>
      </w:r>
      <w:r w:rsidRPr="00F15F5D">
        <w:rPr>
          <w:sz w:val="24"/>
          <w:szCs w:val="24"/>
        </w:rPr>
        <w:t xml:space="preserve"> дял на единиците, в които се очаква да има нарушения</w:t>
      </w:r>
    </w:p>
    <w:p w14:paraId="3C9BD9D0" w14:textId="77777777" w:rsidR="00ED0631" w:rsidRDefault="00ED0631" w:rsidP="00ED0631">
      <w:pPr>
        <w:jc w:val="both"/>
        <w:rPr>
          <w:rFonts w:ascii="Times New Roman" w:hAnsi="Times New Roman" w:cs="Times New Roman"/>
          <w:sz w:val="24"/>
          <w:szCs w:val="24"/>
        </w:rPr>
      </w:pPr>
    </w:p>
    <w:p w14:paraId="41FFD6CE" w14:textId="77777777" w:rsidR="00674397" w:rsidRPr="00F15F5D" w:rsidRDefault="00ED0631" w:rsidP="00ED0631">
      <w:pPr>
        <w:spacing w:after="0" w:line="360" w:lineRule="auto"/>
        <w:ind w:firstLine="708"/>
        <w:jc w:val="both"/>
        <w:rPr>
          <w:rFonts w:ascii="Times New Roman" w:hAnsi="Times New Roman" w:cs="Times New Roman"/>
          <w:sz w:val="24"/>
          <w:szCs w:val="24"/>
        </w:rPr>
      </w:pPr>
      <w:r w:rsidRPr="00F15F5D">
        <w:rPr>
          <w:rFonts w:ascii="Times New Roman" w:hAnsi="Times New Roman" w:cs="Times New Roman"/>
          <w:sz w:val="24"/>
          <w:szCs w:val="24"/>
        </w:rPr>
        <w:t xml:space="preserve">Обемът на конкретната извадка за всеки проект се изчислява чрез </w:t>
      </w:r>
      <w:r w:rsidR="0013628E" w:rsidRPr="00F15F5D">
        <w:rPr>
          <w:rFonts w:ascii="Times New Roman" w:hAnsi="Times New Roman" w:cs="Times New Roman"/>
          <w:sz w:val="24"/>
          <w:szCs w:val="24"/>
        </w:rPr>
        <w:t>електронната таблица за безвъзвратен подбор и дихотомен признак</w:t>
      </w:r>
      <w:r w:rsidR="00674397" w:rsidRPr="00F15F5D">
        <w:rPr>
          <w:rFonts w:ascii="Times New Roman" w:hAnsi="Times New Roman" w:cs="Times New Roman"/>
          <w:sz w:val="24"/>
          <w:szCs w:val="24"/>
        </w:rPr>
        <w:t>, която отразява горепосочената формула</w:t>
      </w:r>
      <w:r w:rsidR="00105381" w:rsidRPr="00F15F5D">
        <w:rPr>
          <w:rFonts w:ascii="Times New Roman" w:hAnsi="Times New Roman" w:cs="Times New Roman"/>
          <w:sz w:val="24"/>
          <w:szCs w:val="24"/>
        </w:rPr>
        <w:t xml:space="preserve"> </w:t>
      </w:r>
      <w:r w:rsidR="00105381" w:rsidRPr="00F15F5D">
        <w:rPr>
          <w:rFonts w:ascii="Times New Roman" w:hAnsi="Times New Roman" w:cs="Times New Roman"/>
          <w:sz w:val="24"/>
          <w:szCs w:val="24"/>
          <w:lang w:eastAsia="bg-BG"/>
        </w:rPr>
        <w:t>в</w:t>
      </w:r>
      <w:r w:rsidR="00105381">
        <w:rPr>
          <w:rFonts w:ascii="Times New Roman" w:hAnsi="Times New Roman" w:cs="Times New Roman"/>
          <w:sz w:val="24"/>
          <w:szCs w:val="24"/>
          <w:lang w:eastAsia="bg-BG"/>
        </w:rPr>
        <w:t xml:space="preserve">ъв файл формат </w:t>
      </w:r>
      <w:r w:rsidR="00105381" w:rsidRPr="00F15F5D">
        <w:rPr>
          <w:rFonts w:ascii="Times New Roman" w:hAnsi="Times New Roman" w:cs="Times New Roman"/>
          <w:sz w:val="24"/>
          <w:szCs w:val="24"/>
          <w:lang w:val="en-US" w:eastAsia="bg-BG"/>
        </w:rPr>
        <w:t>Excel</w:t>
      </w:r>
      <w:r w:rsidR="0013628E" w:rsidRPr="00F15F5D">
        <w:rPr>
          <w:rFonts w:ascii="Times New Roman" w:hAnsi="Times New Roman" w:cs="Times New Roman"/>
          <w:sz w:val="24"/>
          <w:szCs w:val="24"/>
        </w:rPr>
        <w:t xml:space="preserve"> </w:t>
      </w:r>
      <w:r w:rsidR="00674397" w:rsidRPr="00F15F5D">
        <w:rPr>
          <w:rFonts w:ascii="Times New Roman" w:hAnsi="Times New Roman" w:cs="Times New Roman"/>
          <w:sz w:val="24"/>
          <w:szCs w:val="24"/>
        </w:rPr>
        <w:t>(</w:t>
      </w:r>
      <w:r w:rsidR="00674397" w:rsidRPr="00F15F5D">
        <w:rPr>
          <w:rFonts w:ascii="Times New Roman" w:hAnsi="Times New Roman" w:cs="Times New Roman"/>
          <w:i/>
          <w:sz w:val="24"/>
          <w:szCs w:val="24"/>
        </w:rPr>
        <w:t>Приложение № 7.13.1, лист 2</w:t>
      </w:r>
      <w:r w:rsidR="00674397" w:rsidRPr="00F15F5D">
        <w:rPr>
          <w:rFonts w:ascii="Times New Roman" w:hAnsi="Times New Roman" w:cs="Times New Roman"/>
          <w:sz w:val="24"/>
          <w:szCs w:val="24"/>
        </w:rPr>
        <w:t>)</w:t>
      </w:r>
      <w:r w:rsidR="00105381" w:rsidRPr="00F15F5D">
        <w:rPr>
          <w:rFonts w:ascii="Times New Roman" w:hAnsi="Times New Roman" w:cs="Times New Roman"/>
          <w:sz w:val="24"/>
          <w:szCs w:val="24"/>
        </w:rPr>
        <w:t>.</w:t>
      </w:r>
    </w:p>
    <w:p w14:paraId="0EE0794D" w14:textId="77777777" w:rsidR="00105381" w:rsidRDefault="00105381" w:rsidP="00ED0631">
      <w:pPr>
        <w:spacing w:after="0" w:line="360" w:lineRule="auto"/>
        <w:ind w:firstLine="708"/>
        <w:jc w:val="both"/>
        <w:rPr>
          <w:rFonts w:ascii="Times New Roman" w:hAnsi="Times New Roman" w:cs="Times New Roman"/>
          <w:sz w:val="24"/>
          <w:szCs w:val="24"/>
        </w:rPr>
      </w:pPr>
    </w:p>
    <w:p w14:paraId="549A37FE"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При безвъзвратен подбор или малък обем на генералната съвкупност:</w:t>
      </w:r>
    </w:p>
    <w:p w14:paraId="3B62EDE1" w14:textId="77777777" w:rsidR="00105381" w:rsidRDefault="00105381" w:rsidP="00105381">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5E299B0A" wp14:editId="7D2DBB5A">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000" cy="3314700"/>
                    </a:xfrm>
                    <a:prstGeom prst="rect">
                      <a:avLst/>
                    </a:prstGeom>
                  </pic:spPr>
                </pic:pic>
              </a:graphicData>
            </a:graphic>
          </wp:inline>
        </w:drawing>
      </w:r>
    </w:p>
    <w:p w14:paraId="5D4CAC13"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Потребителят въвежда следните четири параметъра: </w:t>
      </w:r>
    </w:p>
    <w:p w14:paraId="61723ED9" w14:textId="77777777"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1) </w:t>
      </w:r>
      <w:r w:rsidRPr="00F15F5D">
        <w:rPr>
          <w:rFonts w:ascii="Times New Roman" w:hAnsi="Times New Roman" w:cs="Times New Roman"/>
          <w:b/>
          <w:sz w:val="24"/>
          <w:szCs w:val="24"/>
          <w:lang w:eastAsia="bg-BG"/>
        </w:rPr>
        <w:t>Гаранционна вероятност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3)</w:t>
      </w:r>
      <w:r w:rsidR="000B7B00" w:rsidRPr="00F15F5D">
        <w:rPr>
          <w:rFonts w:ascii="Times New Roman" w:hAnsi="Times New Roman" w:cs="Times New Roman"/>
          <w:sz w:val="24"/>
          <w:szCs w:val="24"/>
          <w:lang w:eastAsia="bg-BG"/>
        </w:rPr>
        <w:t xml:space="preserve">. В случай, че се излъчва извадка от високорискови проекти, гаранционната вероятност трябва да бъде висока – около 90 %, като при много високорисковите проекти може да бъде дори още по-висока (например 95 %). При излъчване на извадка от нискорискови проекти гаранционната вероятност следва да бъде по-ниска, например 60 %. При извадката от проекти със среден риск, вероятността може да бъде между 70 и 80 %. </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В таблица 1 са посочени препоръчителните нива</w:t>
      </w:r>
      <w:r w:rsidR="00CB2FDE">
        <w:rPr>
          <w:rFonts w:ascii="Times New Roman" w:hAnsi="Times New Roman" w:cs="Times New Roman"/>
          <w:sz w:val="24"/>
          <w:szCs w:val="24"/>
          <w:lang w:eastAsia="bg-BG"/>
        </w:rPr>
        <w:t xml:space="preserve"> на доверие</w:t>
      </w:r>
      <w:r w:rsidR="000B7B00" w:rsidRPr="00F15F5D">
        <w:rPr>
          <w:rFonts w:ascii="Times New Roman" w:hAnsi="Times New Roman" w:cs="Times New Roman"/>
          <w:sz w:val="24"/>
          <w:szCs w:val="24"/>
          <w:lang w:eastAsia="bg-BG"/>
        </w:rPr>
        <w:t>.</w:t>
      </w:r>
    </w:p>
    <w:p w14:paraId="76E204E3" w14:textId="77777777"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2) </w:t>
      </w:r>
      <w:r w:rsidRPr="00F15F5D">
        <w:rPr>
          <w:rFonts w:ascii="Times New Roman" w:hAnsi="Times New Roman" w:cs="Times New Roman"/>
          <w:b/>
          <w:sz w:val="24"/>
          <w:szCs w:val="24"/>
          <w:lang w:eastAsia="bg-BG"/>
        </w:rPr>
        <w:t>Очакван относителен дял</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 xml:space="preserve">на единиците с нарушения </w:t>
      </w:r>
      <w:r w:rsidRPr="00F15F5D">
        <w:rPr>
          <w:rFonts w:ascii="Times New Roman" w:hAnsi="Times New Roman" w:cs="Times New Roman"/>
          <w:sz w:val="24"/>
          <w:szCs w:val="24"/>
          <w:lang w:eastAsia="bg-BG"/>
        </w:rPr>
        <w:t xml:space="preserve">(клетка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4)</w:t>
      </w:r>
      <w:r w:rsidR="000B7B00" w:rsidRPr="00F15F5D">
        <w:rPr>
          <w:rFonts w:ascii="Times New Roman" w:hAnsi="Times New Roman" w:cs="Times New Roman"/>
          <w:sz w:val="24"/>
          <w:szCs w:val="24"/>
          <w:lang w:eastAsia="bg-BG"/>
        </w:rPr>
        <w:t>.  Избраната стойност се аргументира с наличните данни и извършените до момента проверки. 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r w:rsidR="00CB2FDE" w:rsidRPr="00F15F5D">
        <w:rPr>
          <w:rFonts w:ascii="Times New Roman" w:hAnsi="Times New Roman" w:cs="Times New Roman"/>
          <w:sz w:val="24"/>
          <w:szCs w:val="24"/>
          <w:lang w:eastAsia="bg-BG"/>
        </w:rPr>
        <w:t>.</w:t>
      </w:r>
    </w:p>
    <w:p w14:paraId="57E2748C" w14:textId="77777777" w:rsidR="00CB2FDE"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3</w:t>
      </w:r>
      <w:r w:rsidRPr="00440E9B">
        <w:rPr>
          <w:rFonts w:ascii="Times New Roman" w:hAnsi="Times New Roman" w:cs="Times New Roman"/>
          <w:sz w:val="24"/>
          <w:szCs w:val="24"/>
          <w:lang w:val="ru-RU" w:eastAsia="bg-BG"/>
        </w:rPr>
        <w:t>)</w:t>
      </w:r>
      <w:r w:rsidRPr="00F15F5D">
        <w:rPr>
          <w:rFonts w:ascii="Times New Roman" w:hAnsi="Times New Roman" w:cs="Times New Roman"/>
          <w:sz w:val="24"/>
          <w:szCs w:val="24"/>
          <w:lang w:val="en-US" w:eastAsia="bg-BG"/>
        </w:rPr>
        <w:t> </w:t>
      </w:r>
      <w:r w:rsidRPr="00F15F5D">
        <w:rPr>
          <w:rFonts w:ascii="Times New Roman" w:hAnsi="Times New Roman" w:cs="Times New Roman"/>
          <w:b/>
          <w:sz w:val="24"/>
          <w:szCs w:val="24"/>
          <w:lang w:eastAsia="bg-BG"/>
        </w:rPr>
        <w:t>Извадкова</w:t>
      </w:r>
      <w:r w:rsidRPr="00F15F5D">
        <w:rPr>
          <w:rFonts w:ascii="Times New Roman" w:hAnsi="Times New Roman" w:cs="Times New Roman"/>
          <w:sz w:val="24"/>
          <w:szCs w:val="24"/>
          <w:lang w:eastAsia="bg-BG"/>
        </w:rPr>
        <w:t xml:space="preserve"> (максимална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w:t>
      </w:r>
      <w:r w:rsidRPr="00F15F5D">
        <w:rPr>
          <w:rFonts w:ascii="Times New Roman" w:hAnsi="Times New Roman" w:cs="Times New Roman"/>
          <w:b/>
          <w:sz w:val="24"/>
          <w:szCs w:val="24"/>
          <w:lang w:eastAsia="bg-BG"/>
        </w:rPr>
        <w:t>грешка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F15F5D">
        <w:rPr>
          <w:rFonts w:ascii="Times New Roman" w:hAnsi="Times New Roman" w:cs="Times New Roman"/>
          <w:sz w:val="24"/>
          <w:szCs w:val="24"/>
          <w:lang w:eastAsia="bg-BG"/>
        </w:rPr>
        <w:t>5</w:t>
      </w:r>
      <w:r w:rsidRPr="00440E9B">
        <w:rPr>
          <w:rFonts w:ascii="Times New Roman" w:hAnsi="Times New Roman" w:cs="Times New Roman"/>
          <w:sz w:val="24"/>
          <w:szCs w:val="24"/>
          <w:lang w:val="ru-RU" w:eastAsia="bg-BG"/>
        </w:rPr>
        <w:t>)</w:t>
      </w:r>
      <w:r w:rsidR="00CB2FDE" w:rsidRPr="00F15F5D">
        <w:rPr>
          <w:rFonts w:ascii="Times New Roman" w:hAnsi="Times New Roman" w:cs="Times New Roman"/>
          <w:sz w:val="24"/>
          <w:szCs w:val="24"/>
          <w:lang w:eastAsia="bg-BG"/>
        </w:rPr>
        <w:t>. Не трябва да надхвърля 0,02.</w:t>
      </w:r>
    </w:p>
    <w:p w14:paraId="259DF0E8" w14:textId="77777777"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4) </w:t>
      </w:r>
      <w:r w:rsidR="00CB2FDE" w:rsidRPr="00F15F5D">
        <w:rPr>
          <w:rFonts w:ascii="Times New Roman" w:hAnsi="Times New Roman" w:cs="Times New Roman"/>
          <w:b/>
          <w:sz w:val="24"/>
          <w:szCs w:val="24"/>
          <w:lang w:eastAsia="bg-BG"/>
        </w:rPr>
        <w:t>О</w:t>
      </w:r>
      <w:r w:rsidRPr="00F15F5D">
        <w:rPr>
          <w:rFonts w:ascii="Times New Roman" w:hAnsi="Times New Roman" w:cs="Times New Roman"/>
          <w:b/>
          <w:sz w:val="24"/>
          <w:szCs w:val="24"/>
          <w:lang w:eastAsia="bg-BG"/>
        </w:rPr>
        <w:t>бем на генералната съвкупност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6)</w:t>
      </w:r>
      <w:r w:rsidRPr="00F15F5D">
        <w:rPr>
          <w:rFonts w:ascii="Times New Roman" w:hAnsi="Times New Roman" w:cs="Times New Roman"/>
          <w:sz w:val="24"/>
          <w:szCs w:val="24"/>
          <w:lang w:eastAsia="bg-BG"/>
        </w:rPr>
        <w:t>.</w:t>
      </w:r>
      <w:r w:rsidR="00EF24D0">
        <w:rPr>
          <w:rFonts w:ascii="Times New Roman" w:hAnsi="Times New Roman" w:cs="Times New Roman"/>
          <w:sz w:val="24"/>
          <w:szCs w:val="24"/>
          <w:lang w:eastAsia="bg-BG"/>
        </w:rPr>
        <w:t xml:space="preserve"> Извадковата проверка се прилага при повече от 100 участници., записани в документа Микроданни (ЕСФ). </w:t>
      </w:r>
    </w:p>
    <w:p w14:paraId="372FCA26" w14:textId="77777777" w:rsidR="00CB2FDE" w:rsidRPr="00F15F5D" w:rsidRDefault="00CB2FDE"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След въвеждане на параметрите автоматично се изчисляват гаранционния множител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7)</w:t>
      </w:r>
      <w:r w:rsidRPr="00F15F5D">
        <w:rPr>
          <w:rFonts w:ascii="Times New Roman" w:hAnsi="Times New Roman" w:cs="Times New Roman"/>
          <w:sz w:val="24"/>
          <w:szCs w:val="24"/>
          <w:lang w:eastAsia="bg-BG"/>
        </w:rPr>
        <w:t xml:space="preserve">, дисперсията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8)</w:t>
      </w:r>
      <w:r w:rsidRPr="00F15F5D">
        <w:rPr>
          <w:rFonts w:ascii="Times New Roman" w:hAnsi="Times New Roman" w:cs="Times New Roman"/>
          <w:sz w:val="24"/>
          <w:szCs w:val="24"/>
          <w:lang w:eastAsia="bg-BG"/>
        </w:rPr>
        <w:t xml:space="preserve"> и </w:t>
      </w:r>
      <w:r w:rsidRPr="00F15F5D">
        <w:rPr>
          <w:rFonts w:ascii="Times New Roman" w:hAnsi="Times New Roman" w:cs="Times New Roman"/>
          <w:b/>
          <w:sz w:val="24"/>
          <w:szCs w:val="24"/>
          <w:lang w:eastAsia="bg-BG"/>
        </w:rPr>
        <w:t>обемът на извадката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440E9B">
        <w:rPr>
          <w:rFonts w:ascii="Times New Roman" w:hAnsi="Times New Roman" w:cs="Times New Roman"/>
          <w:sz w:val="24"/>
          <w:szCs w:val="24"/>
          <w:lang w:val="ru-RU" w:eastAsia="bg-BG"/>
        </w:rPr>
        <w:t>9)</w:t>
      </w:r>
      <w:r w:rsidRPr="00F15F5D">
        <w:rPr>
          <w:rFonts w:ascii="Times New Roman" w:hAnsi="Times New Roman" w:cs="Times New Roman"/>
          <w:sz w:val="24"/>
          <w:szCs w:val="24"/>
          <w:lang w:eastAsia="bg-BG"/>
        </w:rPr>
        <w:t>.</w:t>
      </w:r>
    </w:p>
    <w:p w14:paraId="3F6AF3CA"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Поради голямата еднородност на единиците в </w:t>
      </w:r>
      <w:r w:rsidR="00CB2FDE">
        <w:rPr>
          <w:rFonts w:ascii="Times New Roman" w:hAnsi="Times New Roman" w:cs="Times New Roman"/>
          <w:sz w:val="24"/>
          <w:szCs w:val="24"/>
        </w:rPr>
        <w:t xml:space="preserve">генералната съвкупност </w:t>
      </w:r>
      <w:r>
        <w:rPr>
          <w:rFonts w:ascii="Times New Roman" w:hAnsi="Times New Roman" w:cs="Times New Roman"/>
          <w:sz w:val="24"/>
          <w:szCs w:val="24"/>
        </w:rPr>
        <w:t>(деца, ученици, студенти, неграмотни лица</w:t>
      </w:r>
      <w:r w:rsidR="00674397">
        <w:rPr>
          <w:rFonts w:ascii="Times New Roman" w:hAnsi="Times New Roman" w:cs="Times New Roman"/>
          <w:sz w:val="24"/>
          <w:szCs w:val="24"/>
        </w:rPr>
        <w:t>, педагогически специалисти</w:t>
      </w:r>
      <w:r>
        <w:rPr>
          <w:rFonts w:ascii="Times New Roman" w:hAnsi="Times New Roman" w:cs="Times New Roman"/>
          <w:sz w:val="24"/>
          <w:szCs w:val="24"/>
        </w:rPr>
        <w:t xml:space="preserve">), </w:t>
      </w:r>
      <w:r w:rsidR="00CB2FDE">
        <w:rPr>
          <w:rFonts w:ascii="Times New Roman" w:hAnsi="Times New Roman" w:cs="Times New Roman"/>
          <w:sz w:val="24"/>
          <w:szCs w:val="24"/>
        </w:rPr>
        <w:t xml:space="preserve">обикновено </w:t>
      </w:r>
      <w:r>
        <w:rPr>
          <w:rFonts w:ascii="Times New Roman" w:hAnsi="Times New Roman" w:cs="Times New Roman"/>
          <w:sz w:val="24"/>
          <w:szCs w:val="24"/>
        </w:rPr>
        <w:t xml:space="preserve">е достатъчно да се приеме </w:t>
      </w:r>
      <w:r w:rsidR="00CB2FDE">
        <w:rPr>
          <w:rFonts w:ascii="Times New Roman" w:hAnsi="Times New Roman" w:cs="Times New Roman"/>
          <w:sz w:val="24"/>
          <w:szCs w:val="24"/>
        </w:rPr>
        <w:t xml:space="preserve">очакван относителен дял на </w:t>
      </w:r>
      <w:r>
        <w:rPr>
          <w:rFonts w:ascii="Times New Roman" w:hAnsi="Times New Roman" w:cs="Times New Roman"/>
          <w:sz w:val="24"/>
          <w:szCs w:val="24"/>
        </w:rPr>
        <w:t>грешката (</w:t>
      </w:r>
      <w:proofErr w:type="spellStart"/>
      <w:r>
        <w:rPr>
          <w:rFonts w:ascii="Times New Roman" w:hAnsi="Times New Roman" w:cs="Times New Roman"/>
          <w:sz w:val="24"/>
          <w:szCs w:val="24"/>
        </w:rPr>
        <w:t>Margin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error</w:t>
      </w:r>
      <w:proofErr w:type="spellEnd"/>
      <w:r>
        <w:rPr>
          <w:rFonts w:ascii="Times New Roman" w:hAnsi="Times New Roman" w:cs="Times New Roman"/>
          <w:sz w:val="24"/>
          <w:szCs w:val="24"/>
        </w:rPr>
        <w:t>) от 5 % и гаранционна вероятност (</w:t>
      </w:r>
      <w:proofErr w:type="spellStart"/>
      <w:r>
        <w:rPr>
          <w:rFonts w:ascii="Times New Roman" w:hAnsi="Times New Roman" w:cs="Times New Roman"/>
          <w:sz w:val="24"/>
          <w:szCs w:val="24"/>
        </w:rPr>
        <w:t>Confidence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level</w:t>
      </w:r>
      <w:proofErr w:type="spellEnd"/>
      <w:r>
        <w:rPr>
          <w:rFonts w:ascii="Times New Roman" w:hAnsi="Times New Roman" w:cs="Times New Roman"/>
          <w:sz w:val="24"/>
          <w:szCs w:val="24"/>
        </w:rPr>
        <w:t xml:space="preserve">) от </w:t>
      </w:r>
      <w:r w:rsidR="00CB2FDE">
        <w:rPr>
          <w:rFonts w:ascii="Times New Roman" w:hAnsi="Times New Roman" w:cs="Times New Roman"/>
          <w:sz w:val="24"/>
          <w:szCs w:val="24"/>
        </w:rPr>
        <w:t xml:space="preserve">60 </w:t>
      </w:r>
      <w:r>
        <w:rPr>
          <w:rFonts w:ascii="Times New Roman" w:hAnsi="Times New Roman" w:cs="Times New Roman"/>
          <w:sz w:val="24"/>
          <w:szCs w:val="24"/>
        </w:rPr>
        <w:t xml:space="preserve">%.  След прилагане на формулата се получава минималният обем на извадката за съответния проект. </w:t>
      </w:r>
    </w:p>
    <w:p w14:paraId="05175A03" w14:textId="77777777" w:rsidR="00C72A41" w:rsidRPr="00E5131A" w:rsidRDefault="00C72A41" w:rsidP="00E5131A">
      <w:pPr>
        <w:spacing w:line="276" w:lineRule="auto"/>
        <w:ind w:firstLine="709"/>
        <w:jc w:val="both"/>
        <w:rPr>
          <w:rFonts w:ascii="Times New Roman" w:hAnsi="Times New Roman" w:cs="Times New Roman"/>
          <w:sz w:val="24"/>
          <w:szCs w:val="24"/>
          <w:lang w:eastAsia="bg-BG"/>
        </w:rPr>
      </w:pPr>
      <w:r w:rsidRPr="00E5131A">
        <w:rPr>
          <w:rFonts w:ascii="Times New Roman" w:hAnsi="Times New Roman" w:cs="Times New Roman"/>
          <w:sz w:val="24"/>
          <w:szCs w:val="24"/>
          <w:lang w:val="en-US" w:eastAsia="bg-BG"/>
        </w:rPr>
        <w:t>N</w:t>
      </w:r>
      <w:r w:rsidRPr="00440E9B">
        <w:rPr>
          <w:rFonts w:ascii="Times New Roman" w:hAnsi="Times New Roman" w:cs="Times New Roman"/>
          <w:sz w:val="24"/>
          <w:szCs w:val="24"/>
          <w:lang w:val="ru-RU" w:eastAsia="bg-BG"/>
        </w:rPr>
        <w:t>.</w:t>
      </w:r>
      <w:r w:rsidRPr="00E5131A">
        <w:rPr>
          <w:rFonts w:ascii="Times New Roman" w:hAnsi="Times New Roman" w:cs="Times New Roman"/>
          <w:sz w:val="24"/>
          <w:szCs w:val="24"/>
          <w:lang w:val="en-US" w:eastAsia="bg-BG"/>
        </w:rPr>
        <w:t>B</w:t>
      </w:r>
      <w:r w:rsidRPr="00E5131A">
        <w:rPr>
          <w:rFonts w:ascii="Times New Roman" w:hAnsi="Times New Roman" w:cs="Times New Roman"/>
          <w:sz w:val="24"/>
          <w:szCs w:val="24"/>
          <w:lang w:eastAsia="bg-BG"/>
        </w:rPr>
        <w:t xml:space="preserve">. При определянето на обема на извадката се залага </w:t>
      </w:r>
      <w:r w:rsidRPr="00E5131A">
        <w:rPr>
          <w:rFonts w:ascii="Times New Roman" w:hAnsi="Times New Roman" w:cs="Times New Roman"/>
          <w:b/>
          <w:sz w:val="24"/>
          <w:szCs w:val="24"/>
          <w:lang w:eastAsia="bg-BG"/>
        </w:rPr>
        <w:t>предварителна оценка на очаквания относителен дял на участниците</w:t>
      </w:r>
      <w:r w:rsidRPr="00E5131A">
        <w:rPr>
          <w:rFonts w:ascii="Times New Roman" w:hAnsi="Times New Roman" w:cs="Times New Roman"/>
          <w:sz w:val="24"/>
          <w:szCs w:val="24"/>
          <w:lang w:eastAsia="bg-BG"/>
        </w:rPr>
        <w:t xml:space="preserve">, за които се предполага, че ще се установят нарушения. Например, ако първоначалните очаквания са този относителен дял да бъде </w:t>
      </w:r>
      <w:r w:rsidRPr="00440E9B">
        <w:rPr>
          <w:rFonts w:ascii="Times New Roman" w:hAnsi="Times New Roman" w:cs="Times New Roman"/>
          <w:sz w:val="24"/>
          <w:szCs w:val="24"/>
          <w:lang w:val="ru-RU" w:eastAsia="bg-BG"/>
        </w:rPr>
        <w:t xml:space="preserve"> </w:t>
      </w:r>
      <w:r w:rsidRPr="00E5131A">
        <w:rPr>
          <w:rFonts w:ascii="Times New Roman" w:hAnsi="Times New Roman" w:cs="Times New Roman"/>
          <w:i/>
          <w:sz w:val="24"/>
          <w:szCs w:val="24"/>
          <w:lang w:val="en-US" w:eastAsia="bg-BG"/>
        </w:rPr>
        <w:t>p</w:t>
      </w:r>
      <w:r w:rsidRPr="00440E9B">
        <w:rPr>
          <w:rFonts w:ascii="Times New Roman" w:hAnsi="Times New Roman" w:cs="Times New Roman"/>
          <w:i/>
          <w:sz w:val="24"/>
          <w:szCs w:val="24"/>
          <w:lang w:val="ru-RU" w:eastAsia="bg-BG"/>
        </w:rPr>
        <w:t xml:space="preserve"> = 0,05</w:t>
      </w:r>
      <w:r w:rsidRPr="00E5131A">
        <w:rPr>
          <w:rFonts w:ascii="Times New Roman" w:hAnsi="Times New Roman" w:cs="Times New Roman"/>
          <w:sz w:val="24"/>
          <w:szCs w:val="24"/>
          <w:lang w:eastAsia="bg-BG"/>
        </w:rPr>
        <w:t xml:space="preserve"> (т.е. </w:t>
      </w:r>
      <w:r>
        <w:rPr>
          <w:rFonts w:ascii="Times New Roman" w:hAnsi="Times New Roman" w:cs="Times New Roman"/>
          <w:sz w:val="24"/>
          <w:szCs w:val="24"/>
          <w:lang w:eastAsia="bg-BG"/>
        </w:rPr>
        <w:t>5</w:t>
      </w:r>
      <w:r w:rsidRPr="00E5131A">
        <w:rPr>
          <w:rFonts w:ascii="Times New Roman" w:hAnsi="Times New Roman" w:cs="Times New Roman"/>
          <w:sz w:val="24"/>
          <w:szCs w:val="24"/>
          <w:lang w:eastAsia="bg-BG"/>
        </w:rPr>
        <w:t xml:space="preserve"> %),</w:t>
      </w:r>
      <w:r w:rsidRPr="00C72A41">
        <w:rPr>
          <w:rFonts w:ascii="Times New Roman" w:hAnsi="Times New Roman" w:cs="Times New Roman"/>
          <w:sz w:val="24"/>
          <w:szCs w:val="24"/>
          <w:lang w:eastAsia="bg-BG"/>
        </w:rPr>
        <w:t xml:space="preserve"> при гаранционна вероятност от 7</w:t>
      </w:r>
      <w:r w:rsidRPr="00E5131A">
        <w:rPr>
          <w:rFonts w:ascii="Times New Roman" w:hAnsi="Times New Roman" w:cs="Times New Roman"/>
          <w:sz w:val="24"/>
          <w:szCs w:val="24"/>
          <w:lang w:eastAsia="bg-BG"/>
        </w:rPr>
        <w:t xml:space="preserve">0 %, извадкова (максимална </w:t>
      </w:r>
      <w:proofErr w:type="spellStart"/>
      <w:r w:rsidRPr="00E5131A">
        <w:rPr>
          <w:rFonts w:ascii="Times New Roman" w:hAnsi="Times New Roman" w:cs="Times New Roman"/>
          <w:sz w:val="24"/>
          <w:szCs w:val="24"/>
          <w:lang w:eastAsia="bg-BG"/>
        </w:rPr>
        <w:t>стохастична</w:t>
      </w:r>
      <w:proofErr w:type="spellEnd"/>
      <w:r w:rsidRPr="00E5131A">
        <w:rPr>
          <w:rFonts w:ascii="Times New Roman" w:hAnsi="Times New Roman" w:cs="Times New Roman"/>
          <w:sz w:val="24"/>
          <w:szCs w:val="24"/>
          <w:lang w:eastAsia="bg-BG"/>
        </w:rPr>
        <w:t xml:space="preserve">) грешка – 0,02 и общ брой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в </w:t>
      </w:r>
      <w:r>
        <w:rPr>
          <w:rFonts w:ascii="Times New Roman" w:hAnsi="Times New Roman" w:cs="Times New Roman"/>
          <w:sz w:val="24"/>
          <w:szCs w:val="24"/>
          <w:lang w:eastAsia="bg-BG"/>
        </w:rPr>
        <w:t xml:space="preserve">документа Микроданни </w:t>
      </w:r>
      <w:r w:rsidR="00EF24D0">
        <w:rPr>
          <w:rFonts w:ascii="Times New Roman" w:hAnsi="Times New Roman" w:cs="Times New Roman"/>
          <w:sz w:val="24"/>
          <w:szCs w:val="24"/>
          <w:lang w:eastAsia="bg-BG"/>
        </w:rPr>
        <w:t xml:space="preserve">(ЕСФ) </w:t>
      </w:r>
      <w:r>
        <w:rPr>
          <w:rFonts w:ascii="Times New Roman" w:hAnsi="Times New Roman" w:cs="Times New Roman"/>
          <w:sz w:val="24"/>
          <w:szCs w:val="24"/>
          <w:lang w:eastAsia="bg-BG"/>
        </w:rPr>
        <w:t>– 500</w:t>
      </w:r>
      <w:r w:rsidRPr="00E5131A">
        <w:rPr>
          <w:rFonts w:ascii="Times New Roman" w:hAnsi="Times New Roman" w:cs="Times New Roman"/>
          <w:sz w:val="24"/>
          <w:szCs w:val="24"/>
          <w:lang w:eastAsia="bg-BG"/>
        </w:rPr>
        <w:t>, то е необх</w:t>
      </w:r>
      <w:r w:rsidRPr="00C72A41">
        <w:rPr>
          <w:rFonts w:ascii="Times New Roman" w:hAnsi="Times New Roman" w:cs="Times New Roman"/>
          <w:sz w:val="24"/>
          <w:szCs w:val="24"/>
          <w:lang w:eastAsia="bg-BG"/>
        </w:rPr>
        <w:t>одимо да се излъчи извадка от 10</w:t>
      </w:r>
      <w:r w:rsidRPr="00E5131A">
        <w:rPr>
          <w:rFonts w:ascii="Times New Roman" w:hAnsi="Times New Roman" w:cs="Times New Roman"/>
          <w:sz w:val="24"/>
          <w:szCs w:val="24"/>
          <w:lang w:eastAsia="bg-BG"/>
        </w:rPr>
        <w:t xml:space="preserve">2 </w:t>
      </w:r>
      <w:r w:rsidRPr="00440E9B">
        <w:rPr>
          <w:rFonts w:ascii="Times New Roman" w:hAnsi="Times New Roman" w:cs="Times New Roman"/>
          <w:sz w:val="24"/>
          <w:szCs w:val="24"/>
          <w:lang w:val="ru-RU" w:eastAsia="bg-BG"/>
        </w:rPr>
        <w:t>участници</w:t>
      </w:r>
      <w:r w:rsidRPr="00E5131A">
        <w:rPr>
          <w:rFonts w:ascii="Times New Roman" w:hAnsi="Times New Roman" w:cs="Times New Roman"/>
          <w:sz w:val="24"/>
          <w:szCs w:val="24"/>
          <w:lang w:eastAsia="bg-BG"/>
        </w:rPr>
        <w:t xml:space="preserve">. Ако </w:t>
      </w:r>
      <w:r>
        <w:rPr>
          <w:rFonts w:ascii="Times New Roman" w:hAnsi="Times New Roman" w:cs="Times New Roman"/>
          <w:sz w:val="24"/>
          <w:szCs w:val="24"/>
          <w:lang w:eastAsia="bg-BG"/>
        </w:rPr>
        <w:t xml:space="preserve">след извършване на проверката </w:t>
      </w:r>
      <w:r w:rsidRPr="00E5131A">
        <w:rPr>
          <w:rFonts w:ascii="Times New Roman" w:hAnsi="Times New Roman" w:cs="Times New Roman"/>
          <w:sz w:val="24"/>
          <w:szCs w:val="24"/>
          <w:lang w:eastAsia="bg-BG"/>
        </w:rPr>
        <w:t xml:space="preserve">се установи, че относителният дял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за</w:t>
      </w:r>
      <w:r w:rsidRPr="00E5131A">
        <w:rPr>
          <w:rFonts w:ascii="Times New Roman" w:hAnsi="Times New Roman" w:cs="Times New Roman"/>
          <w:sz w:val="24"/>
          <w:szCs w:val="24"/>
          <w:lang w:eastAsia="bg-BG"/>
        </w:rPr>
        <w:t xml:space="preserve"> които са установени н</w:t>
      </w:r>
      <w:r w:rsidRPr="00C72A41">
        <w:rPr>
          <w:rFonts w:ascii="Times New Roman" w:hAnsi="Times New Roman" w:cs="Times New Roman"/>
          <w:sz w:val="24"/>
          <w:szCs w:val="24"/>
          <w:lang w:eastAsia="bg-BG"/>
        </w:rPr>
        <w:t>арушения, е по-голям (например 1</w:t>
      </w:r>
      <w:r w:rsidRPr="00E5131A">
        <w:rPr>
          <w:rFonts w:ascii="Times New Roman" w:hAnsi="Times New Roman" w:cs="Times New Roman"/>
          <w:sz w:val="24"/>
          <w:szCs w:val="24"/>
          <w:lang w:eastAsia="bg-BG"/>
        </w:rPr>
        <w:t>0 %, т.е.</w:t>
      </w:r>
      <w:r>
        <w:rPr>
          <w:rFonts w:ascii="Times New Roman" w:hAnsi="Times New Roman" w:cs="Times New Roman"/>
          <w:sz w:val="24"/>
          <w:szCs w:val="24"/>
          <w:lang w:eastAsia="bg-BG"/>
        </w:rPr>
        <w:t xml:space="preserve"> </w:t>
      </w:r>
      <w:r w:rsidRPr="00DB45A4">
        <w:rPr>
          <w:rFonts w:ascii="Times New Roman" w:hAnsi="Times New Roman" w:cs="Times New Roman"/>
          <w:i/>
          <w:sz w:val="24"/>
          <w:szCs w:val="24"/>
          <w:lang w:val="en-US" w:eastAsia="bg-BG"/>
        </w:rPr>
        <w:t>p</w:t>
      </w:r>
      <w:r w:rsidRPr="00440E9B">
        <w:rPr>
          <w:rFonts w:ascii="Times New Roman" w:hAnsi="Times New Roman" w:cs="Times New Roman"/>
          <w:i/>
          <w:sz w:val="24"/>
          <w:szCs w:val="24"/>
          <w:lang w:val="ru-RU" w:eastAsia="bg-BG"/>
        </w:rPr>
        <w:t xml:space="preserve"> = 0,</w:t>
      </w:r>
      <w:r>
        <w:rPr>
          <w:rFonts w:ascii="Times New Roman" w:hAnsi="Times New Roman" w:cs="Times New Roman"/>
          <w:i/>
          <w:sz w:val="24"/>
          <w:szCs w:val="24"/>
          <w:lang w:eastAsia="bg-BG"/>
        </w:rPr>
        <w:t>10</w:t>
      </w:r>
      <w:r w:rsidRPr="00E5131A">
        <w:rPr>
          <w:rFonts w:ascii="Times New Roman" w:hAnsi="Times New Roman" w:cs="Times New Roman"/>
          <w:sz w:val="24"/>
          <w:szCs w:val="24"/>
          <w:lang w:eastAsia="bg-BG"/>
        </w:rPr>
        <w:t xml:space="preserve">), то </w:t>
      </w:r>
      <w:r w:rsidR="00E5131A">
        <w:rPr>
          <w:rFonts w:ascii="Times New Roman" w:hAnsi="Times New Roman" w:cs="Times New Roman"/>
          <w:sz w:val="24"/>
          <w:szCs w:val="24"/>
          <w:lang w:eastAsia="bg-BG"/>
        </w:rPr>
        <w:t>съгласно</w:t>
      </w:r>
      <w:r w:rsidR="00E5131A" w:rsidRPr="00E5131A">
        <w:rPr>
          <w:rFonts w:ascii="Times New Roman" w:hAnsi="Times New Roman" w:cs="Times New Roman"/>
          <w:sz w:val="24"/>
          <w:szCs w:val="24"/>
          <w:lang w:eastAsia="bg-BG"/>
        </w:rPr>
        <w:t xml:space="preserve"> посочената формула</w:t>
      </w:r>
      <w:r w:rsidRPr="00E5131A">
        <w:rPr>
          <w:rFonts w:ascii="Times New Roman" w:hAnsi="Times New Roman" w:cs="Times New Roman"/>
          <w:sz w:val="24"/>
          <w:szCs w:val="24"/>
          <w:lang w:eastAsia="bg-BG"/>
        </w:rPr>
        <w:t xml:space="preserve"> е необходимо извадката да бъде по-голяма (в </w:t>
      </w:r>
      <w:r>
        <w:rPr>
          <w:rFonts w:ascii="Times New Roman" w:hAnsi="Times New Roman" w:cs="Times New Roman"/>
          <w:sz w:val="24"/>
          <w:szCs w:val="24"/>
          <w:lang w:eastAsia="bg-BG"/>
        </w:rPr>
        <w:t xml:space="preserve">конкретния </w:t>
      </w:r>
      <w:r w:rsidRPr="00E5131A">
        <w:rPr>
          <w:rFonts w:ascii="Times New Roman" w:hAnsi="Times New Roman" w:cs="Times New Roman"/>
          <w:sz w:val="24"/>
          <w:szCs w:val="24"/>
          <w:lang w:eastAsia="bg-BG"/>
        </w:rPr>
        <w:t>случа</w:t>
      </w:r>
      <w:r>
        <w:rPr>
          <w:rFonts w:ascii="Times New Roman" w:hAnsi="Times New Roman" w:cs="Times New Roman"/>
          <w:sz w:val="24"/>
          <w:szCs w:val="24"/>
          <w:lang w:eastAsia="bg-BG"/>
        </w:rPr>
        <w:t>й</w:t>
      </w:r>
      <w:r w:rsidRPr="00E5131A">
        <w:rPr>
          <w:rFonts w:ascii="Times New Roman" w:hAnsi="Times New Roman" w:cs="Times New Roman"/>
          <w:sz w:val="24"/>
          <w:szCs w:val="24"/>
          <w:lang w:eastAsia="bg-BG"/>
        </w:rPr>
        <w:t xml:space="preserve"> извадката следва да включва </w:t>
      </w:r>
      <w:r>
        <w:rPr>
          <w:rFonts w:ascii="Times New Roman" w:hAnsi="Times New Roman" w:cs="Times New Roman"/>
          <w:sz w:val="24"/>
          <w:szCs w:val="24"/>
          <w:lang w:eastAsia="bg-BG"/>
        </w:rPr>
        <w:t>163</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Поради тази причина, за да се получат резултатите с необходимата точност, то следва да се излъчи втора извадка от </w:t>
      </w:r>
      <w:r>
        <w:rPr>
          <w:rFonts w:ascii="Times New Roman" w:hAnsi="Times New Roman" w:cs="Times New Roman"/>
          <w:sz w:val="24"/>
          <w:szCs w:val="24"/>
          <w:lang w:eastAsia="bg-BG"/>
        </w:rPr>
        <w:t>участници</w:t>
      </w:r>
      <w:r w:rsidR="00E5131A">
        <w:rPr>
          <w:rFonts w:ascii="Times New Roman" w:hAnsi="Times New Roman" w:cs="Times New Roman"/>
          <w:sz w:val="24"/>
          <w:szCs w:val="24"/>
          <w:lang w:eastAsia="bg-BG"/>
        </w:rPr>
        <w:t>те, записани в документа Микрод</w:t>
      </w:r>
      <w:r>
        <w:rPr>
          <w:rFonts w:ascii="Times New Roman" w:hAnsi="Times New Roman" w:cs="Times New Roman"/>
          <w:sz w:val="24"/>
          <w:szCs w:val="24"/>
          <w:lang w:eastAsia="bg-BG"/>
        </w:rPr>
        <w:t>анни,</w:t>
      </w:r>
      <w:r w:rsidRPr="00E5131A">
        <w:rPr>
          <w:rFonts w:ascii="Times New Roman" w:hAnsi="Times New Roman" w:cs="Times New Roman"/>
          <w:sz w:val="24"/>
          <w:szCs w:val="24"/>
          <w:lang w:eastAsia="bg-BG"/>
        </w:rPr>
        <w:t xml:space="preserve"> като в този случай допълнителната </w:t>
      </w:r>
      <w:r w:rsidRPr="00C72A41">
        <w:rPr>
          <w:rFonts w:ascii="Times New Roman" w:hAnsi="Times New Roman" w:cs="Times New Roman"/>
          <w:sz w:val="24"/>
          <w:szCs w:val="24"/>
          <w:lang w:eastAsia="bg-BG"/>
        </w:rPr>
        <w:t xml:space="preserve">извадка трябва да бъде от </w:t>
      </w:r>
      <w:r w:rsidR="00E5131A">
        <w:rPr>
          <w:rFonts w:ascii="Times New Roman" w:hAnsi="Times New Roman" w:cs="Times New Roman"/>
          <w:sz w:val="24"/>
          <w:szCs w:val="24"/>
          <w:lang w:eastAsia="bg-BG"/>
        </w:rPr>
        <w:t xml:space="preserve">163 – 102 </w:t>
      </w:r>
      <w:r w:rsidR="00E5131A" w:rsidRPr="00440E9B">
        <w:rPr>
          <w:rFonts w:ascii="Times New Roman" w:hAnsi="Times New Roman" w:cs="Times New Roman"/>
          <w:sz w:val="24"/>
          <w:szCs w:val="24"/>
          <w:lang w:val="ru-RU" w:eastAsia="bg-BG"/>
        </w:rPr>
        <w:t xml:space="preserve">= </w:t>
      </w:r>
      <w:r w:rsidRPr="00C72A41">
        <w:rPr>
          <w:rFonts w:ascii="Times New Roman" w:hAnsi="Times New Roman" w:cs="Times New Roman"/>
          <w:sz w:val="24"/>
          <w:szCs w:val="24"/>
          <w:lang w:eastAsia="bg-BG"/>
        </w:rPr>
        <w:t>61</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Естествено при излъчването на втората извадка следва да се изключат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които вече са попаднали в първата извадка. </w:t>
      </w:r>
    </w:p>
    <w:p w14:paraId="6BE4DF75"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От съвкупността на всички участници на случаен признак (чрез генератор на случайни числа RANDBETWEEN) се определя извадка за проверка в съответствие с изчисления минимален обем на извадката. Ако при генерирането на случайните числа се получи повторение на някои участници, повторенията се елиминират, за да се получи извадка от различни участници.</w:t>
      </w:r>
    </w:p>
    <w:p w14:paraId="465D7873" w14:textId="77777777"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Ако при проверка на участници от извадката се установ</w:t>
      </w:r>
      <w:r w:rsidR="00E5131A">
        <w:rPr>
          <w:rFonts w:ascii="Times New Roman" w:hAnsi="Times New Roman" w:cs="Times New Roman"/>
          <w:sz w:val="24"/>
          <w:szCs w:val="24"/>
        </w:rPr>
        <w:t>ят</w:t>
      </w:r>
      <w:r>
        <w:rPr>
          <w:rFonts w:ascii="Times New Roman" w:hAnsi="Times New Roman" w:cs="Times New Roman"/>
          <w:sz w:val="24"/>
          <w:szCs w:val="24"/>
        </w:rPr>
        <w:t xml:space="preserve"> не</w:t>
      </w:r>
      <w:r w:rsidR="00E5131A">
        <w:rPr>
          <w:rFonts w:ascii="Times New Roman" w:hAnsi="Times New Roman" w:cs="Times New Roman"/>
          <w:sz w:val="24"/>
          <w:szCs w:val="24"/>
        </w:rPr>
        <w:t>допустими участници</w:t>
      </w:r>
      <w:r>
        <w:rPr>
          <w:rFonts w:ascii="Times New Roman" w:hAnsi="Times New Roman" w:cs="Times New Roman"/>
          <w:sz w:val="24"/>
          <w:szCs w:val="24"/>
        </w:rPr>
        <w:t>, извадката се разширява по такъв начин, че да се елиминира вероятността от допускане на грешка, която може да има финансово влияние – например, при проверка на участници от различни училища, се проверяват всички участници от училището, в което е установено несъответствие</w:t>
      </w:r>
      <w:r w:rsidR="00E5131A">
        <w:rPr>
          <w:rFonts w:ascii="Times New Roman" w:hAnsi="Times New Roman" w:cs="Times New Roman"/>
          <w:sz w:val="24"/>
          <w:szCs w:val="24"/>
        </w:rPr>
        <w:t>то</w:t>
      </w:r>
      <w:r>
        <w:rPr>
          <w:rFonts w:ascii="Times New Roman" w:hAnsi="Times New Roman" w:cs="Times New Roman"/>
          <w:sz w:val="24"/>
          <w:szCs w:val="24"/>
        </w:rPr>
        <w:t>.</w:t>
      </w:r>
    </w:p>
    <w:p w14:paraId="0AE2B1D1" w14:textId="77777777" w:rsidR="00ED0631"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подаването на нов междинен отчет може да се извърши отново извадкова проверка, като в този случай е допустимо да се използва по-ниска гаранционна вероятност </w:t>
      </w:r>
      <w:r w:rsidR="00E5131A">
        <w:rPr>
          <w:rFonts w:ascii="Times New Roman" w:hAnsi="Times New Roman" w:cs="Times New Roman"/>
          <w:sz w:val="24"/>
          <w:szCs w:val="24"/>
        </w:rPr>
        <w:t>(</w:t>
      </w:r>
      <w:r>
        <w:rPr>
          <w:rFonts w:ascii="Times New Roman" w:hAnsi="Times New Roman" w:cs="Times New Roman"/>
          <w:sz w:val="24"/>
          <w:szCs w:val="24"/>
        </w:rPr>
        <w:t>например</w:t>
      </w:r>
      <w:r w:rsidR="00E5131A">
        <w:rPr>
          <w:rFonts w:ascii="Times New Roman" w:hAnsi="Times New Roman" w:cs="Times New Roman"/>
          <w:sz w:val="24"/>
          <w:szCs w:val="24"/>
        </w:rPr>
        <w:t>,</w:t>
      </w:r>
      <w:r>
        <w:rPr>
          <w:rFonts w:ascii="Times New Roman" w:hAnsi="Times New Roman" w:cs="Times New Roman"/>
          <w:sz w:val="24"/>
          <w:szCs w:val="24"/>
        </w:rPr>
        <w:t xml:space="preserve"> </w:t>
      </w:r>
      <w:r w:rsidR="00CB2FDE">
        <w:rPr>
          <w:rFonts w:ascii="Times New Roman" w:hAnsi="Times New Roman" w:cs="Times New Roman"/>
          <w:sz w:val="24"/>
          <w:szCs w:val="24"/>
        </w:rPr>
        <w:t>при първия междинен отчет приложеното ниво на доверие е било 80 %, но не са установени грешки, следователно при в</w:t>
      </w:r>
      <w:r w:rsidR="00A86F3F">
        <w:rPr>
          <w:rFonts w:ascii="Times New Roman" w:hAnsi="Times New Roman" w:cs="Times New Roman"/>
          <w:sz w:val="24"/>
          <w:szCs w:val="24"/>
        </w:rPr>
        <w:t xml:space="preserve">тория междинен отчет е оправдано да се приложи по-ниска гаранционна вероятност от </w:t>
      </w:r>
      <w:r w:rsidR="00F15F5D">
        <w:rPr>
          <w:rFonts w:ascii="Times New Roman" w:hAnsi="Times New Roman" w:cs="Times New Roman"/>
          <w:sz w:val="24"/>
          <w:szCs w:val="24"/>
        </w:rPr>
        <w:t xml:space="preserve">70 % или </w:t>
      </w:r>
      <w:r w:rsidR="00A86F3F">
        <w:rPr>
          <w:rFonts w:ascii="Times New Roman" w:hAnsi="Times New Roman" w:cs="Times New Roman"/>
          <w:sz w:val="24"/>
          <w:szCs w:val="24"/>
        </w:rPr>
        <w:t>6</w:t>
      </w:r>
      <w:r>
        <w:rPr>
          <w:rFonts w:ascii="Times New Roman" w:hAnsi="Times New Roman" w:cs="Times New Roman"/>
          <w:sz w:val="24"/>
          <w:szCs w:val="24"/>
        </w:rPr>
        <w:t>0 %</w:t>
      </w:r>
      <w:r w:rsidR="00E5131A">
        <w:rPr>
          <w:rFonts w:ascii="Times New Roman" w:hAnsi="Times New Roman" w:cs="Times New Roman"/>
          <w:sz w:val="24"/>
          <w:szCs w:val="24"/>
        </w:rPr>
        <w:t>)</w:t>
      </w:r>
      <w:r>
        <w:rPr>
          <w:rFonts w:ascii="Times New Roman" w:hAnsi="Times New Roman" w:cs="Times New Roman"/>
          <w:sz w:val="24"/>
          <w:szCs w:val="24"/>
        </w:rPr>
        <w:t xml:space="preserve">. </w:t>
      </w:r>
    </w:p>
    <w:p w14:paraId="35CC50D4" w14:textId="77777777" w:rsidR="0094576C" w:rsidRPr="00381B04" w:rsidRDefault="0094576C" w:rsidP="00E5131A">
      <w:pPr>
        <w:spacing w:after="0" w:line="276" w:lineRule="auto"/>
        <w:ind w:firstLine="708"/>
        <w:jc w:val="both"/>
        <w:rPr>
          <w:rFonts w:ascii="Times New Roman" w:hAnsi="Times New Roman" w:cs="Times New Roman"/>
          <w:sz w:val="24"/>
          <w:szCs w:val="24"/>
        </w:rPr>
      </w:pPr>
    </w:p>
    <w:sectPr w:rsidR="0094576C" w:rsidRPr="00381B0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0598" w14:textId="77777777" w:rsidR="00C06182" w:rsidRDefault="00C06182" w:rsidP="006C3B65">
      <w:pPr>
        <w:spacing w:after="0" w:line="240" w:lineRule="auto"/>
      </w:pPr>
      <w:r>
        <w:separator/>
      </w:r>
    </w:p>
  </w:endnote>
  <w:endnote w:type="continuationSeparator" w:id="0">
    <w:p w14:paraId="4DFFB52C" w14:textId="77777777" w:rsidR="00C06182" w:rsidRDefault="00C06182" w:rsidP="006C3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307C" w14:textId="77777777" w:rsidR="00132E77" w:rsidRDefault="00132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C2A9" w14:textId="77777777" w:rsidR="00132E77" w:rsidRDefault="00132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47DBA" w14:textId="77777777" w:rsidR="00132E77" w:rsidRDefault="0013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5B0A" w14:textId="77777777" w:rsidR="00C06182" w:rsidRDefault="00C06182" w:rsidP="006C3B65">
      <w:pPr>
        <w:spacing w:after="0" w:line="240" w:lineRule="auto"/>
      </w:pPr>
      <w:r>
        <w:separator/>
      </w:r>
    </w:p>
  </w:footnote>
  <w:footnote w:type="continuationSeparator" w:id="0">
    <w:p w14:paraId="3A8FC0CD" w14:textId="77777777" w:rsidR="00C06182" w:rsidRDefault="00C06182" w:rsidP="006C3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EA74F" w14:textId="77777777" w:rsidR="00132E77" w:rsidRDefault="00132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AE39" w14:textId="77777777" w:rsidR="006C3B65" w:rsidRDefault="006C3B65">
    <w:pPr>
      <w:pStyle w:val="Header"/>
    </w:pPr>
  </w:p>
  <w:tbl>
    <w:tblPr>
      <w:tblW w:w="10490" w:type="dxa"/>
      <w:tblInd w:w="-712" w:type="dxa"/>
      <w:tblLayout w:type="fixed"/>
      <w:tblCellMar>
        <w:left w:w="0" w:type="dxa"/>
        <w:right w:w="0" w:type="dxa"/>
      </w:tblCellMar>
      <w:tblLook w:val="0000" w:firstRow="0" w:lastRow="0" w:firstColumn="0" w:lastColumn="0" w:noHBand="0" w:noVBand="0"/>
    </w:tblPr>
    <w:tblGrid>
      <w:gridCol w:w="2552"/>
      <w:gridCol w:w="1701"/>
      <w:gridCol w:w="1985"/>
      <w:gridCol w:w="708"/>
      <w:gridCol w:w="3544"/>
    </w:tblGrid>
    <w:tr w:rsidR="006C3B65" w:rsidRPr="00CA24E4" w14:paraId="0F3CBA57" w14:textId="77777777" w:rsidTr="006C3B65">
      <w:trPr>
        <w:trHeight w:val="285"/>
        <w:tblHeader/>
      </w:trPr>
      <w:tc>
        <w:tcPr>
          <w:tcW w:w="2552" w:type="dxa"/>
          <w:vMerge w:val="restart"/>
          <w:tcBorders>
            <w:top w:val="single" w:sz="2" w:space="0" w:color="000000"/>
            <w:left w:val="single" w:sz="2" w:space="0" w:color="000000"/>
          </w:tcBorders>
          <w:vAlign w:val="center"/>
        </w:tcPr>
        <w:p w14:paraId="00929307" w14:textId="42AEE1D1" w:rsidR="006C3B65" w:rsidRPr="0038591D" w:rsidRDefault="006C3B65" w:rsidP="0038591D">
          <w:pPr>
            <w:widowControl w:val="0"/>
            <w:suppressLineNumbers/>
            <w:suppressAutoHyphens/>
            <w:spacing w:after="0" w:line="276" w:lineRule="auto"/>
            <w:jc w:val="center"/>
            <w:rPr>
              <w:rFonts w:ascii="Times New Roman" w:eastAsia="Times New Roman" w:hAnsi="Times New Roman" w:cs="Times New Roman"/>
              <w:b/>
              <w:noProof/>
              <w:sz w:val="20"/>
              <w:szCs w:val="20"/>
              <w:lang w:eastAsia="bg-BG"/>
            </w:rPr>
          </w:pPr>
          <w:r w:rsidRPr="00ED0631">
            <w:rPr>
              <w:rFonts w:ascii="Times New Roman" w:eastAsia="Times New Roman" w:hAnsi="Times New Roman" w:cs="Times New Roman"/>
              <w:b/>
              <w:noProof/>
              <w:sz w:val="20"/>
              <w:szCs w:val="20"/>
              <w:lang w:eastAsia="bg-BG"/>
            </w:rPr>
            <w:t xml:space="preserve">Наръчник за управление на </w:t>
          </w:r>
          <w:r w:rsidR="0072144A">
            <w:rPr>
              <w:rFonts w:ascii="Times New Roman" w:eastAsia="Times New Roman" w:hAnsi="Times New Roman" w:cs="Times New Roman"/>
              <w:b/>
              <w:noProof/>
              <w:sz w:val="20"/>
              <w:szCs w:val="20"/>
              <w:lang w:eastAsia="bg-BG"/>
            </w:rPr>
            <w:t>П</w:t>
          </w:r>
          <w:r w:rsidRPr="00ED0631">
            <w:rPr>
              <w:rFonts w:ascii="Times New Roman" w:eastAsia="Times New Roman" w:hAnsi="Times New Roman" w:cs="Times New Roman"/>
              <w:b/>
              <w:noProof/>
              <w:sz w:val="20"/>
              <w:szCs w:val="20"/>
              <w:lang w:eastAsia="bg-BG"/>
            </w:rPr>
            <w:t>рограма</w:t>
          </w:r>
          <w:r w:rsidR="0038591D">
            <w:rPr>
              <w:rFonts w:ascii="Times New Roman" w:eastAsia="Times New Roman" w:hAnsi="Times New Roman" w:cs="Times New Roman"/>
              <w:b/>
              <w:noProof/>
              <w:sz w:val="20"/>
              <w:szCs w:val="20"/>
              <w:lang w:eastAsia="bg-BG"/>
            </w:rPr>
            <w:t xml:space="preserve"> </w:t>
          </w:r>
          <w:r w:rsidRPr="00ED0631">
            <w:rPr>
              <w:rFonts w:ascii="Times New Roman" w:eastAsia="Times New Roman" w:hAnsi="Times New Roman" w:cs="Times New Roman"/>
              <w:b/>
              <w:noProof/>
              <w:sz w:val="20"/>
              <w:szCs w:val="20"/>
              <w:lang w:eastAsia="bg-BG"/>
            </w:rPr>
            <w:t>„</w:t>
          </w:r>
          <w:r w:rsidR="0072144A">
            <w:rPr>
              <w:rFonts w:ascii="Times New Roman" w:eastAsia="Times New Roman" w:hAnsi="Times New Roman" w:cs="Times New Roman"/>
              <w:b/>
              <w:noProof/>
              <w:sz w:val="20"/>
              <w:szCs w:val="20"/>
              <w:lang w:eastAsia="bg-BG"/>
            </w:rPr>
            <w:t>О</w:t>
          </w:r>
          <w:r w:rsidRPr="00ED0631">
            <w:rPr>
              <w:rFonts w:ascii="Times New Roman" w:eastAsia="Times New Roman" w:hAnsi="Times New Roman" w:cs="Times New Roman"/>
              <w:b/>
              <w:noProof/>
              <w:sz w:val="20"/>
              <w:szCs w:val="20"/>
              <w:lang w:eastAsia="bg-BG"/>
            </w:rPr>
            <w:t>бразование“</w:t>
          </w:r>
        </w:p>
      </w:tc>
      <w:tc>
        <w:tcPr>
          <w:tcW w:w="3686" w:type="dxa"/>
          <w:gridSpan w:val="2"/>
          <w:tcBorders>
            <w:top w:val="single" w:sz="2" w:space="0" w:color="000000"/>
            <w:left w:val="single" w:sz="2" w:space="0" w:color="000000"/>
            <w:bottom w:val="single" w:sz="2" w:space="0" w:color="000000"/>
          </w:tcBorders>
          <w:vAlign w:val="center"/>
        </w:tcPr>
        <w:p w14:paraId="121F1111" w14:textId="6D5B47DD" w:rsidR="006C3B65" w:rsidRPr="00ED0631" w:rsidRDefault="006C3B65" w:rsidP="000512F8">
          <w:pPr>
            <w:widowControl w:val="0"/>
            <w:suppressLineNumbers/>
            <w:suppressAutoHyphens/>
            <w:spacing w:after="0" w:line="240" w:lineRule="auto"/>
            <w:jc w:val="center"/>
            <w:rPr>
              <w:rFonts w:ascii="Times New Roman" w:eastAsia="Times New Roman" w:hAnsi="Times New Roman" w:cs="Times New Roman"/>
              <w:i/>
              <w:noProof/>
              <w:sz w:val="20"/>
              <w:szCs w:val="20"/>
              <w:lang w:val="ru-RU" w:eastAsia="bg-BG"/>
            </w:rPr>
          </w:pPr>
          <w:r w:rsidRPr="00ED0631">
            <w:rPr>
              <w:rFonts w:ascii="Times New Roman" w:eastAsia="Times New Roman" w:hAnsi="Times New Roman" w:cs="Times New Roman"/>
              <w:b/>
              <w:noProof/>
              <w:sz w:val="20"/>
              <w:szCs w:val="20"/>
              <w:lang w:eastAsia="bg-BG"/>
            </w:rPr>
            <w:t>Приложение</w:t>
          </w:r>
          <w:r w:rsidRPr="00ED0631">
            <w:rPr>
              <w:rFonts w:ascii="Times New Roman" w:eastAsia="Times New Roman" w:hAnsi="Times New Roman" w:cs="Times New Roman"/>
              <w:b/>
              <w:noProof/>
              <w:sz w:val="20"/>
              <w:szCs w:val="20"/>
              <w:lang w:val="ru-RU" w:eastAsia="bg-BG"/>
            </w:rPr>
            <w:t xml:space="preserve"> </w:t>
          </w:r>
          <w:r w:rsidR="00AA0789">
            <w:rPr>
              <w:rFonts w:ascii="Times New Roman" w:eastAsia="Times New Roman" w:hAnsi="Times New Roman" w:cs="Times New Roman"/>
              <w:b/>
              <w:noProof/>
              <w:sz w:val="20"/>
              <w:szCs w:val="20"/>
              <w:lang w:eastAsia="bg-BG"/>
            </w:rPr>
            <w:t>5</w:t>
          </w:r>
          <w:r w:rsidR="008C5468">
            <w:rPr>
              <w:rFonts w:ascii="Times New Roman" w:eastAsia="Times New Roman" w:hAnsi="Times New Roman" w:cs="Times New Roman"/>
              <w:b/>
              <w:noProof/>
              <w:sz w:val="20"/>
              <w:szCs w:val="20"/>
              <w:lang w:eastAsia="bg-BG"/>
            </w:rPr>
            <w:t>.</w:t>
          </w:r>
          <w:r w:rsidR="0061533D">
            <w:rPr>
              <w:rFonts w:ascii="Times New Roman" w:eastAsia="Times New Roman" w:hAnsi="Times New Roman" w:cs="Times New Roman"/>
              <w:b/>
              <w:noProof/>
              <w:sz w:val="20"/>
              <w:szCs w:val="20"/>
              <w:lang w:eastAsia="bg-BG"/>
            </w:rPr>
            <w:t>2</w:t>
          </w:r>
        </w:p>
      </w:tc>
      <w:tc>
        <w:tcPr>
          <w:tcW w:w="4252" w:type="dxa"/>
          <w:gridSpan w:val="2"/>
          <w:tcBorders>
            <w:top w:val="single" w:sz="2" w:space="0" w:color="000000"/>
            <w:left w:val="single" w:sz="2" w:space="0" w:color="000000"/>
            <w:bottom w:val="single" w:sz="2" w:space="0" w:color="000000"/>
            <w:right w:val="single" w:sz="2" w:space="0" w:color="000000"/>
          </w:tcBorders>
          <w:vAlign w:val="center"/>
        </w:tcPr>
        <w:p w14:paraId="4CDE8262" w14:textId="67BB4148" w:rsidR="006C3B65" w:rsidRPr="00655919" w:rsidRDefault="006C3B65" w:rsidP="006C3B65">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ED0631">
            <w:rPr>
              <w:rFonts w:ascii="Times New Roman" w:eastAsia="Times New Roman" w:hAnsi="Times New Roman" w:cs="Times New Roman"/>
              <w:b/>
              <w:noProof/>
              <w:sz w:val="20"/>
              <w:szCs w:val="20"/>
              <w:lang w:eastAsia="bg-BG"/>
            </w:rPr>
            <w:t>Глава</w:t>
          </w:r>
          <w:r w:rsidRPr="00ED0631">
            <w:rPr>
              <w:rFonts w:ascii="Times New Roman" w:eastAsia="Times New Roman" w:hAnsi="Times New Roman" w:cs="Times New Roman"/>
              <w:b/>
              <w:noProof/>
              <w:sz w:val="20"/>
              <w:szCs w:val="20"/>
              <w:lang w:val="en-US" w:eastAsia="bg-BG"/>
            </w:rPr>
            <w:t xml:space="preserve"> </w:t>
          </w:r>
          <w:r w:rsidR="00655919">
            <w:rPr>
              <w:rFonts w:ascii="Times New Roman" w:eastAsia="Times New Roman" w:hAnsi="Times New Roman" w:cs="Times New Roman"/>
              <w:b/>
              <w:noProof/>
              <w:sz w:val="20"/>
              <w:szCs w:val="20"/>
              <w:lang w:eastAsia="bg-BG"/>
            </w:rPr>
            <w:t>5</w:t>
          </w:r>
        </w:p>
      </w:tc>
    </w:tr>
    <w:tr w:rsidR="006C3B65" w:rsidRPr="00CA24E4" w14:paraId="75550F39" w14:textId="77777777" w:rsidTr="006C3B65">
      <w:trPr>
        <w:trHeight w:val="405"/>
      </w:trPr>
      <w:tc>
        <w:tcPr>
          <w:tcW w:w="2552" w:type="dxa"/>
          <w:vMerge/>
          <w:tcBorders>
            <w:left w:val="single" w:sz="2" w:space="0" w:color="000000"/>
          </w:tcBorders>
        </w:tcPr>
        <w:p w14:paraId="27C55766" w14:textId="77777777" w:rsidR="006C3B65" w:rsidRPr="00ED0631" w:rsidRDefault="006C3B65" w:rsidP="006C3B65">
          <w:pPr>
            <w:widowControl w:val="0"/>
            <w:suppressLineNumbers/>
            <w:suppressAutoHyphens/>
            <w:spacing w:after="120" w:line="240" w:lineRule="auto"/>
            <w:jc w:val="center"/>
            <w:rPr>
              <w:rFonts w:ascii="Times New Roman" w:eastAsia="Times New Roman" w:hAnsi="Times New Roman" w:cs="Times New Roman"/>
              <w:b/>
              <w:noProof/>
              <w:sz w:val="20"/>
              <w:szCs w:val="20"/>
              <w:lang w:eastAsia="bg-BG"/>
            </w:rPr>
          </w:pPr>
        </w:p>
      </w:tc>
      <w:tc>
        <w:tcPr>
          <w:tcW w:w="7938" w:type="dxa"/>
          <w:gridSpan w:val="4"/>
          <w:tcBorders>
            <w:left w:val="single" w:sz="2" w:space="0" w:color="000000"/>
            <w:bottom w:val="single" w:sz="2" w:space="0" w:color="000000"/>
            <w:right w:val="single" w:sz="2" w:space="0" w:color="000000"/>
          </w:tcBorders>
          <w:vAlign w:val="center"/>
        </w:tcPr>
        <w:p w14:paraId="58B6BBF2" w14:textId="1BA4F7EF" w:rsidR="006C3B65" w:rsidRPr="006651A5" w:rsidRDefault="006C3B65" w:rsidP="006651A5">
          <w:pPr>
            <w:spacing w:after="0" w:line="240" w:lineRule="auto"/>
            <w:jc w:val="center"/>
            <w:rPr>
              <w:rFonts w:ascii="Times New Roman" w:eastAsia="Times New Roman" w:hAnsi="Times New Roman" w:cs="Times New Roman"/>
              <w:b/>
              <w:i/>
              <w:sz w:val="24"/>
              <w:szCs w:val="24"/>
              <w:lang w:val="ru-RU"/>
            </w:rPr>
          </w:pPr>
          <w:r w:rsidRPr="006651A5">
            <w:rPr>
              <w:rFonts w:ascii="Times New Roman" w:eastAsia="Times New Roman" w:hAnsi="Times New Roman" w:cs="Times New Roman"/>
              <w:b/>
              <w:sz w:val="24"/>
              <w:szCs w:val="24"/>
            </w:rPr>
            <w:t>Методика за извадкова проверка на Микроданни участници (ЕСФ</w:t>
          </w:r>
          <w:r w:rsidR="0072144A">
            <w:rPr>
              <w:rFonts w:ascii="Times New Roman" w:eastAsia="Times New Roman" w:hAnsi="Times New Roman" w:cs="Times New Roman"/>
              <w:b/>
              <w:sz w:val="24"/>
              <w:szCs w:val="24"/>
            </w:rPr>
            <w:t>+</w:t>
          </w:r>
          <w:r w:rsidRPr="006651A5">
            <w:rPr>
              <w:rFonts w:ascii="Times New Roman" w:eastAsia="Times New Roman" w:hAnsi="Times New Roman" w:cs="Times New Roman"/>
              <w:b/>
              <w:sz w:val="24"/>
              <w:szCs w:val="24"/>
            </w:rPr>
            <w:t xml:space="preserve">) </w:t>
          </w:r>
        </w:p>
      </w:tc>
    </w:tr>
    <w:tr w:rsidR="006C3B65" w:rsidRPr="00CA24E4" w14:paraId="0C10B390" w14:textId="77777777" w:rsidTr="003D6800">
      <w:trPr>
        <w:trHeight w:val="429"/>
      </w:trPr>
      <w:tc>
        <w:tcPr>
          <w:tcW w:w="2552" w:type="dxa"/>
          <w:vMerge/>
          <w:tcBorders>
            <w:left w:val="single" w:sz="2" w:space="0" w:color="000000"/>
            <w:bottom w:val="single" w:sz="2" w:space="0" w:color="000000"/>
          </w:tcBorders>
        </w:tcPr>
        <w:p w14:paraId="5B35F584" w14:textId="77777777" w:rsidR="006C3B65" w:rsidRPr="00ED0631" w:rsidRDefault="006C3B65" w:rsidP="006C3B65">
          <w:pPr>
            <w:widowControl w:val="0"/>
            <w:suppressLineNumbers/>
            <w:suppressAutoHyphens/>
            <w:spacing w:after="0" w:line="240" w:lineRule="auto"/>
            <w:jc w:val="center"/>
            <w:rPr>
              <w:rFonts w:ascii="Times New Roman" w:eastAsia="Times New Roman" w:hAnsi="Times New Roman" w:cs="Times New Roman"/>
              <w:b/>
              <w:noProof/>
              <w:sz w:val="20"/>
              <w:szCs w:val="20"/>
              <w:lang w:eastAsia="bg-BG"/>
            </w:rPr>
          </w:pPr>
        </w:p>
      </w:tc>
      <w:tc>
        <w:tcPr>
          <w:tcW w:w="1701" w:type="dxa"/>
          <w:tcBorders>
            <w:left w:val="single" w:sz="2" w:space="0" w:color="000000"/>
            <w:bottom w:val="single" w:sz="2" w:space="0" w:color="000000"/>
          </w:tcBorders>
          <w:vAlign w:val="center"/>
        </w:tcPr>
        <w:p w14:paraId="4018B3E0" w14:textId="27DA9EF1" w:rsidR="006C3B65" w:rsidRPr="00ED0631" w:rsidRDefault="006C3B65" w:rsidP="00E924ED">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38591D">
            <w:rPr>
              <w:rFonts w:ascii="Times New Roman" w:eastAsia="Times New Roman" w:hAnsi="Times New Roman" w:cs="Times New Roman"/>
              <w:noProof/>
              <w:sz w:val="20"/>
              <w:szCs w:val="20"/>
              <w:lang w:eastAsia="bg-BG"/>
            </w:rPr>
            <w:t>В</w:t>
          </w:r>
          <w:r w:rsidR="0038591D" w:rsidRPr="0038591D">
            <w:rPr>
              <w:rFonts w:ascii="Times New Roman" w:eastAsia="Times New Roman" w:hAnsi="Times New Roman" w:cs="Times New Roman"/>
              <w:noProof/>
              <w:sz w:val="20"/>
              <w:szCs w:val="20"/>
              <w:lang w:eastAsia="bg-BG"/>
            </w:rPr>
            <w:t>ариант</w:t>
          </w:r>
          <w:r w:rsidRPr="0038591D">
            <w:rPr>
              <w:rFonts w:ascii="Times New Roman" w:eastAsia="Times New Roman" w:hAnsi="Times New Roman" w:cs="Times New Roman"/>
              <w:noProof/>
              <w:sz w:val="20"/>
              <w:szCs w:val="20"/>
              <w:lang w:eastAsia="bg-BG"/>
            </w:rPr>
            <w:t xml:space="preserve"> </w:t>
          </w:r>
          <w:r w:rsidR="005B36AD">
            <w:rPr>
              <w:rFonts w:ascii="Times New Roman" w:eastAsia="Times New Roman" w:hAnsi="Times New Roman" w:cs="Times New Roman"/>
              <w:noProof/>
              <w:sz w:val="20"/>
              <w:szCs w:val="20"/>
              <w:lang w:eastAsia="bg-BG"/>
            </w:rPr>
            <w:t>2</w:t>
          </w:r>
          <w:r w:rsidR="00577F22">
            <w:rPr>
              <w:rFonts w:ascii="Times New Roman" w:eastAsia="Times New Roman" w:hAnsi="Times New Roman" w:cs="Times New Roman"/>
              <w:noProof/>
              <w:sz w:val="20"/>
              <w:szCs w:val="20"/>
              <w:lang w:eastAsia="bg-BG"/>
            </w:rPr>
            <w:t xml:space="preserve">, версия </w:t>
          </w:r>
          <w:r w:rsidR="005B36AD">
            <w:rPr>
              <w:rFonts w:ascii="Times New Roman" w:eastAsia="Times New Roman" w:hAnsi="Times New Roman" w:cs="Times New Roman"/>
              <w:noProof/>
              <w:sz w:val="20"/>
              <w:szCs w:val="20"/>
              <w:lang w:eastAsia="bg-BG"/>
            </w:rPr>
            <w:t>1</w:t>
          </w:r>
          <w:r w:rsidR="00BF3E81">
            <w:rPr>
              <w:rFonts w:ascii="Times New Roman" w:eastAsia="Times New Roman" w:hAnsi="Times New Roman" w:cs="Times New Roman"/>
              <w:noProof/>
              <w:sz w:val="20"/>
              <w:szCs w:val="20"/>
              <w:lang w:eastAsia="bg-BG"/>
            </w:rPr>
            <w:t xml:space="preserve"> </w:t>
          </w:r>
        </w:p>
      </w:tc>
      <w:tc>
        <w:tcPr>
          <w:tcW w:w="2693" w:type="dxa"/>
          <w:gridSpan w:val="2"/>
          <w:tcBorders>
            <w:left w:val="single" w:sz="2" w:space="0" w:color="000000"/>
            <w:bottom w:val="single" w:sz="2" w:space="0" w:color="000000"/>
          </w:tcBorders>
          <w:vAlign w:val="center"/>
        </w:tcPr>
        <w:p w14:paraId="0EB979EF" w14:textId="77777777" w:rsidR="006C3B65" w:rsidRPr="00ED0631" w:rsidRDefault="006C3B65" w:rsidP="006C3B65">
          <w:pPr>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lang w:val="ru-RU"/>
            </w:rPr>
            <w:t>Одобрен от:</w:t>
          </w:r>
        </w:p>
        <w:p w14:paraId="7C878C54" w14:textId="77777777" w:rsidR="006C3B65" w:rsidRPr="00ED0631" w:rsidRDefault="006C3B65" w:rsidP="006C3B65">
          <w:pPr>
            <w:widowControl w:val="0"/>
            <w:suppressAutoHyphens/>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rPr>
            <w:t>Ръководителя</w:t>
          </w:r>
          <w:r w:rsidRPr="006651A5">
            <w:rPr>
              <w:rFonts w:ascii="Times New Roman" w:eastAsia="Times New Roman" w:hAnsi="Times New Roman" w:cs="Times New Roman"/>
              <w:sz w:val="20"/>
              <w:szCs w:val="24"/>
              <w:lang w:val="ru-RU"/>
            </w:rPr>
            <w:t xml:space="preserve"> на УО</w:t>
          </w:r>
        </w:p>
      </w:tc>
      <w:tc>
        <w:tcPr>
          <w:tcW w:w="3544" w:type="dxa"/>
          <w:tcBorders>
            <w:left w:val="single" w:sz="2" w:space="0" w:color="000000"/>
            <w:bottom w:val="single" w:sz="2" w:space="0" w:color="000000"/>
            <w:right w:val="single" w:sz="2" w:space="0" w:color="000000"/>
          </w:tcBorders>
          <w:vAlign w:val="center"/>
        </w:tcPr>
        <w:p w14:paraId="771F6FCB" w14:textId="14D47343" w:rsidR="006C3B65" w:rsidRPr="00CA24E4" w:rsidRDefault="005B36AD" w:rsidP="00E924ED">
          <w:pPr>
            <w:spacing w:after="0" w:line="240" w:lineRule="auto"/>
            <w:jc w:val="center"/>
            <w:rPr>
              <w:rFonts w:ascii="Times New Roman" w:eastAsia="Times New Roman" w:hAnsi="Times New Roman" w:cs="Times New Roman"/>
              <w:sz w:val="20"/>
              <w:szCs w:val="20"/>
              <w:lang w:eastAsia="bg-BG"/>
            </w:rPr>
          </w:pPr>
          <w:r>
            <w:rPr>
              <w:rFonts w:ascii="Times New Roman" w:hAnsi="Times New Roman"/>
              <w:sz w:val="20"/>
              <w:szCs w:val="24"/>
              <w:lang w:eastAsia="bg-BG"/>
            </w:rPr>
            <w:t>януари</w:t>
          </w:r>
          <w:r w:rsidRPr="0038591D">
            <w:rPr>
              <w:rFonts w:ascii="Times New Roman" w:hAnsi="Times New Roman"/>
              <w:sz w:val="20"/>
              <w:szCs w:val="24"/>
              <w:lang w:eastAsia="bg-BG"/>
            </w:rPr>
            <w:t xml:space="preserve"> </w:t>
          </w:r>
          <w:r w:rsidR="00210E6C" w:rsidRPr="0038591D">
            <w:rPr>
              <w:rFonts w:ascii="Times New Roman" w:hAnsi="Times New Roman"/>
              <w:sz w:val="20"/>
              <w:szCs w:val="24"/>
              <w:lang w:eastAsia="bg-BG"/>
            </w:rPr>
            <w:t>202</w:t>
          </w:r>
          <w:r>
            <w:rPr>
              <w:rFonts w:ascii="Times New Roman" w:hAnsi="Times New Roman"/>
              <w:sz w:val="20"/>
              <w:szCs w:val="24"/>
              <w:lang w:eastAsia="bg-BG"/>
            </w:rPr>
            <w:t>5</w:t>
          </w:r>
          <w:r w:rsidR="00210E6C" w:rsidRPr="0038591D">
            <w:rPr>
              <w:rFonts w:ascii="Times New Roman" w:hAnsi="Times New Roman"/>
              <w:sz w:val="20"/>
              <w:szCs w:val="24"/>
              <w:lang w:eastAsia="bg-BG"/>
            </w:rPr>
            <w:t xml:space="preserve"> г.</w:t>
          </w:r>
        </w:p>
      </w:tc>
    </w:tr>
  </w:tbl>
  <w:p w14:paraId="77C555AE" w14:textId="77777777" w:rsidR="006C3B65" w:rsidRDefault="006C3B65">
    <w:pPr>
      <w:pStyle w:val="Header"/>
    </w:pPr>
  </w:p>
  <w:p w14:paraId="6874E128" w14:textId="77777777" w:rsidR="006C3B65" w:rsidRDefault="006C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A5FB" w14:textId="77777777" w:rsidR="00132E77" w:rsidRDefault="00132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396F0C1D"/>
    <w:multiLevelType w:val="hybridMultilevel"/>
    <w:tmpl w:val="32ECD9A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52C76759"/>
    <w:multiLevelType w:val="hybridMultilevel"/>
    <w:tmpl w:val="6E16A7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D66"/>
    <w:rsid w:val="00001D66"/>
    <w:rsid w:val="00032189"/>
    <w:rsid w:val="000512F8"/>
    <w:rsid w:val="000833F5"/>
    <w:rsid w:val="000B7B00"/>
    <w:rsid w:val="00105381"/>
    <w:rsid w:val="00132E77"/>
    <w:rsid w:val="0013628E"/>
    <w:rsid w:val="00152547"/>
    <w:rsid w:val="00152959"/>
    <w:rsid w:val="00164351"/>
    <w:rsid w:val="001B1CD4"/>
    <w:rsid w:val="001D3092"/>
    <w:rsid w:val="001E389F"/>
    <w:rsid w:val="001F577F"/>
    <w:rsid w:val="0021018E"/>
    <w:rsid w:val="00210E6C"/>
    <w:rsid w:val="002575F9"/>
    <w:rsid w:val="00267139"/>
    <w:rsid w:val="002934E1"/>
    <w:rsid w:val="002C7564"/>
    <w:rsid w:val="002F65B8"/>
    <w:rsid w:val="00332A8D"/>
    <w:rsid w:val="00353F0F"/>
    <w:rsid w:val="0036492D"/>
    <w:rsid w:val="0038591D"/>
    <w:rsid w:val="003B545D"/>
    <w:rsid w:val="003C4FFC"/>
    <w:rsid w:val="003D6800"/>
    <w:rsid w:val="003E631C"/>
    <w:rsid w:val="00424AB5"/>
    <w:rsid w:val="0042721E"/>
    <w:rsid w:val="00440E9B"/>
    <w:rsid w:val="00476560"/>
    <w:rsid w:val="004B5B3F"/>
    <w:rsid w:val="004D0646"/>
    <w:rsid w:val="004E15B7"/>
    <w:rsid w:val="00515612"/>
    <w:rsid w:val="00577F22"/>
    <w:rsid w:val="00595164"/>
    <w:rsid w:val="005B2CAF"/>
    <w:rsid w:val="005B36AD"/>
    <w:rsid w:val="005F2C08"/>
    <w:rsid w:val="005F3DED"/>
    <w:rsid w:val="0061533D"/>
    <w:rsid w:val="00655919"/>
    <w:rsid w:val="006651A5"/>
    <w:rsid w:val="00674397"/>
    <w:rsid w:val="006A7ECE"/>
    <w:rsid w:val="006C3B65"/>
    <w:rsid w:val="006C4765"/>
    <w:rsid w:val="006C791F"/>
    <w:rsid w:val="006D3810"/>
    <w:rsid w:val="006D65DF"/>
    <w:rsid w:val="006D7635"/>
    <w:rsid w:val="006E34F7"/>
    <w:rsid w:val="00704F97"/>
    <w:rsid w:val="0072144A"/>
    <w:rsid w:val="00736270"/>
    <w:rsid w:val="00746806"/>
    <w:rsid w:val="00771456"/>
    <w:rsid w:val="00785617"/>
    <w:rsid w:val="007F4F0C"/>
    <w:rsid w:val="008256F7"/>
    <w:rsid w:val="00871460"/>
    <w:rsid w:val="00891019"/>
    <w:rsid w:val="008C5468"/>
    <w:rsid w:val="008F5AE2"/>
    <w:rsid w:val="00914AD6"/>
    <w:rsid w:val="0094000E"/>
    <w:rsid w:val="0094576C"/>
    <w:rsid w:val="00947EA6"/>
    <w:rsid w:val="009953F8"/>
    <w:rsid w:val="00A57190"/>
    <w:rsid w:val="00A86F3F"/>
    <w:rsid w:val="00AA0789"/>
    <w:rsid w:val="00AB20E1"/>
    <w:rsid w:val="00AD5323"/>
    <w:rsid w:val="00B04E2B"/>
    <w:rsid w:val="00BA01FE"/>
    <w:rsid w:val="00BE2330"/>
    <w:rsid w:val="00BF3E81"/>
    <w:rsid w:val="00C06182"/>
    <w:rsid w:val="00C10B7D"/>
    <w:rsid w:val="00C45616"/>
    <w:rsid w:val="00C45756"/>
    <w:rsid w:val="00C72A41"/>
    <w:rsid w:val="00C73615"/>
    <w:rsid w:val="00C86100"/>
    <w:rsid w:val="00C94ED1"/>
    <w:rsid w:val="00CB2FDE"/>
    <w:rsid w:val="00CC70FC"/>
    <w:rsid w:val="00CF5DCA"/>
    <w:rsid w:val="00D479E6"/>
    <w:rsid w:val="00D710A8"/>
    <w:rsid w:val="00D8799E"/>
    <w:rsid w:val="00D94547"/>
    <w:rsid w:val="00DA4876"/>
    <w:rsid w:val="00E01B9F"/>
    <w:rsid w:val="00E1041D"/>
    <w:rsid w:val="00E114D8"/>
    <w:rsid w:val="00E254E4"/>
    <w:rsid w:val="00E5131A"/>
    <w:rsid w:val="00E90002"/>
    <w:rsid w:val="00E924ED"/>
    <w:rsid w:val="00EC288E"/>
    <w:rsid w:val="00ED0631"/>
    <w:rsid w:val="00EE6DA5"/>
    <w:rsid w:val="00EF24D0"/>
    <w:rsid w:val="00F15F5D"/>
    <w:rsid w:val="00F83D81"/>
    <w:rsid w:val="00FA3442"/>
    <w:rsid w:val="00FB3D8E"/>
    <w:rsid w:val="00FD114B"/>
    <w:rsid w:val="00FD33EF"/>
    <w:rsid w:val="00FE3A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86E9D0"/>
  <w15:chartTrackingRefBased/>
  <w15:docId w15:val="{2C9D6B2E-BB4E-4C87-A0E9-063C0B282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67139"/>
    <w:pPr>
      <w:ind w:left="720"/>
      <w:contextualSpacing/>
    </w:pPr>
  </w:style>
  <w:style w:type="character" w:customStyle="1" w:styleId="apple-converted-space">
    <w:name w:val="apple-converted-space"/>
    <w:uiPriority w:val="99"/>
    <w:rsid w:val="00EC288E"/>
    <w:rPr>
      <w:rFonts w:cs="Times New Roman"/>
    </w:rPr>
  </w:style>
  <w:style w:type="character" w:styleId="Emphasis">
    <w:name w:val="Emphasis"/>
    <w:uiPriority w:val="99"/>
    <w:qFormat/>
    <w:rsid w:val="00EC288E"/>
    <w:rPr>
      <w:rFonts w:cs="Times New Roman"/>
      <w:i/>
      <w:iCs/>
    </w:rPr>
  </w:style>
  <w:style w:type="character" w:styleId="Hyperlink">
    <w:name w:val="Hyperlink"/>
    <w:basedOn w:val="DefaultParagraphFont"/>
    <w:uiPriority w:val="99"/>
    <w:semiHidden/>
    <w:unhideWhenUsed/>
    <w:rsid w:val="00914AD6"/>
    <w:rPr>
      <w:color w:val="0563C1"/>
      <w:u w:val="single"/>
    </w:rPr>
  </w:style>
  <w:style w:type="paragraph" w:styleId="HTMLPreformatted">
    <w:name w:val="HTML Preformatted"/>
    <w:basedOn w:val="Normal"/>
    <w:link w:val="HTMLPreformattedChar"/>
    <w:uiPriority w:val="99"/>
    <w:unhideWhenUsed/>
    <w:rsid w:val="0091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914AD6"/>
    <w:rPr>
      <w:rFonts w:ascii="Consolas" w:hAnsi="Consolas" w:cs="Consolas"/>
      <w:sz w:val="20"/>
      <w:szCs w:val="20"/>
    </w:rPr>
  </w:style>
  <w:style w:type="character" w:customStyle="1" w:styleId="filled-value2">
    <w:name w:val="filled-value2"/>
    <w:basedOn w:val="DefaultParagraphFont"/>
    <w:rsid w:val="00914AD6"/>
    <w:rPr>
      <w:b w:val="0"/>
      <w:bCs w:val="0"/>
    </w:rPr>
  </w:style>
  <w:style w:type="paragraph" w:styleId="Header">
    <w:name w:val="header"/>
    <w:basedOn w:val="Normal"/>
    <w:link w:val="HeaderChar"/>
    <w:uiPriority w:val="99"/>
    <w:unhideWhenUsed/>
    <w:rsid w:val="006C3B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3B65"/>
  </w:style>
  <w:style w:type="paragraph" w:styleId="Footer">
    <w:name w:val="footer"/>
    <w:basedOn w:val="Normal"/>
    <w:link w:val="FooterChar"/>
    <w:uiPriority w:val="99"/>
    <w:unhideWhenUsed/>
    <w:rsid w:val="006C3B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3B65"/>
  </w:style>
  <w:style w:type="paragraph" w:styleId="BalloonText">
    <w:name w:val="Balloon Text"/>
    <w:basedOn w:val="Normal"/>
    <w:link w:val="BalloonTextChar"/>
    <w:uiPriority w:val="99"/>
    <w:semiHidden/>
    <w:unhideWhenUsed/>
    <w:rsid w:val="006C3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B65"/>
    <w:rPr>
      <w:rFonts w:ascii="Segoe UI" w:hAnsi="Segoe UI" w:cs="Segoe UI"/>
      <w:sz w:val="18"/>
      <w:szCs w:val="18"/>
    </w:rPr>
  </w:style>
  <w:style w:type="paragraph" w:styleId="Revision">
    <w:name w:val="Revision"/>
    <w:hidden/>
    <w:uiPriority w:val="99"/>
    <w:semiHidden/>
    <w:rsid w:val="00F15F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584652">
      <w:bodyDiv w:val="1"/>
      <w:marLeft w:val="0"/>
      <w:marRight w:val="0"/>
      <w:marTop w:val="0"/>
      <w:marBottom w:val="0"/>
      <w:divBdr>
        <w:top w:val="none" w:sz="0" w:space="0" w:color="auto"/>
        <w:left w:val="none" w:sz="0" w:space="0" w:color="auto"/>
        <w:bottom w:val="none" w:sz="0" w:space="0" w:color="auto"/>
        <w:right w:val="none" w:sz="0" w:space="0" w:color="auto"/>
      </w:divBdr>
    </w:div>
    <w:div w:id="16096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6</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dc:description/>
  <cp:lastModifiedBy>Teodora Mehandjiyska</cp:lastModifiedBy>
  <cp:revision>41</cp:revision>
  <dcterms:created xsi:type="dcterms:W3CDTF">2018-04-30T11:48:00Z</dcterms:created>
  <dcterms:modified xsi:type="dcterms:W3CDTF">2025-01-31T07:16:00Z</dcterms:modified>
</cp:coreProperties>
</file>